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73" w:rsidRPr="00881173" w:rsidRDefault="00881173" w:rsidP="00881173">
      <w:pPr>
        <w:tabs>
          <w:tab w:val="left" w:pos="1080"/>
        </w:tabs>
        <w:rPr>
          <w:rFonts w:ascii="Arial" w:hAnsi="Arial" w:cs="Arial"/>
        </w:rPr>
      </w:pPr>
      <w:r w:rsidRPr="00881173">
        <w:rPr>
          <w:rFonts w:ascii="Arial" w:hAnsi="Arial" w:cs="Arial"/>
        </w:rPr>
        <w:t>Issued:   12/1/2014</w:t>
      </w:r>
    </w:p>
    <w:p w:rsidR="00CE4D76" w:rsidRPr="00881173" w:rsidRDefault="00881173" w:rsidP="00881173">
      <w:pPr>
        <w:rPr>
          <w:rFonts w:ascii="Arial" w:hAnsi="Arial" w:cs="Arial"/>
        </w:rPr>
      </w:pPr>
      <w:r w:rsidRPr="00881173">
        <w:rPr>
          <w:rFonts w:ascii="Arial" w:hAnsi="Arial" w:cs="Arial"/>
        </w:rPr>
        <w:t>Author:   Melissa Rockwell Hopkins</w:t>
      </w:r>
    </w:p>
    <w:p w:rsidR="00881173" w:rsidRPr="00881173" w:rsidRDefault="00881173" w:rsidP="005C0A9D">
      <w:pPr>
        <w:tabs>
          <w:tab w:val="left" w:pos="720"/>
        </w:tabs>
        <w:spacing w:before="60"/>
        <w:rPr>
          <w:rFonts w:ascii="Arial" w:hAnsi="Arial" w:cs="Arial"/>
        </w:rPr>
      </w:pPr>
    </w:p>
    <w:p w:rsidR="00881173" w:rsidRPr="00881173" w:rsidRDefault="00881173" w:rsidP="00881173">
      <w:pPr>
        <w:pBdr>
          <w:bottom w:val="single" w:sz="4" w:space="1" w:color="auto"/>
        </w:pBdr>
        <w:autoSpaceDE w:val="0"/>
        <w:autoSpaceDN w:val="0"/>
        <w:adjustRightInd w:val="0"/>
        <w:outlineLvl w:val="0"/>
        <w:rPr>
          <w:rFonts w:ascii="Arial" w:hAnsi="Arial" w:cs="Arial"/>
          <w:b/>
          <w:bCs/>
          <w:color w:val="000000"/>
          <w:sz w:val="23"/>
          <w:szCs w:val="23"/>
        </w:rPr>
      </w:pPr>
      <w:r w:rsidRPr="00881173">
        <w:rPr>
          <w:rFonts w:ascii="Arial" w:hAnsi="Arial" w:cs="Arial"/>
          <w:b/>
          <w:bCs/>
          <w:color w:val="000000"/>
          <w:sz w:val="23"/>
          <w:szCs w:val="23"/>
        </w:rPr>
        <w:t xml:space="preserve">CHANGE ORDER DEFINITIONS:  </w:t>
      </w:r>
      <w:r w:rsidRPr="00881173">
        <w:rPr>
          <w:rFonts w:ascii="Arial" w:hAnsi="Arial" w:cs="Arial"/>
          <w:b/>
          <w:bCs/>
          <w:color w:val="000000"/>
          <w:sz w:val="23"/>
          <w:szCs w:val="23"/>
        </w:rPr>
        <w:tab/>
      </w:r>
    </w:p>
    <w:p w:rsidR="00CE4D76" w:rsidRPr="00881173" w:rsidRDefault="00CE4D76" w:rsidP="005C0A9D">
      <w:pPr>
        <w:pStyle w:val="Text"/>
        <w:rPr>
          <w:rFonts w:ascii="Arial" w:hAnsi="Arial" w:cs="Arial"/>
        </w:rPr>
      </w:pPr>
    </w:p>
    <w:p w:rsidR="00013CF0" w:rsidRPr="00881173" w:rsidRDefault="0075395C" w:rsidP="005C0A9D">
      <w:pPr>
        <w:rPr>
          <w:rFonts w:ascii="Arial" w:hAnsi="Arial" w:cs="Arial"/>
          <w:sz w:val="18"/>
        </w:rPr>
      </w:pPr>
      <w:r w:rsidRPr="00881173">
        <w:rPr>
          <w:rFonts w:ascii="Arial" w:hAnsi="Arial" w:cs="Arial"/>
          <w:sz w:val="18"/>
        </w:rPr>
        <w:t>There are cu</w:t>
      </w:r>
      <w:r w:rsidR="0071517A" w:rsidRPr="00881173">
        <w:rPr>
          <w:rFonts w:ascii="Arial" w:hAnsi="Arial" w:cs="Arial"/>
          <w:sz w:val="18"/>
        </w:rPr>
        <w:t>rrently thirteen</w:t>
      </w:r>
      <w:r w:rsidR="00013CF0" w:rsidRPr="00881173">
        <w:rPr>
          <w:rFonts w:ascii="Arial" w:hAnsi="Arial" w:cs="Arial"/>
          <w:sz w:val="18"/>
        </w:rPr>
        <w:t xml:space="preserve"> options for “basis of change </w:t>
      </w:r>
      <w:r w:rsidR="006431A5" w:rsidRPr="00881173">
        <w:rPr>
          <w:rFonts w:ascii="Arial" w:hAnsi="Arial" w:cs="Arial"/>
          <w:sz w:val="18"/>
        </w:rPr>
        <w:t>order”</w:t>
      </w:r>
      <w:r w:rsidR="00013CF0" w:rsidRPr="00881173">
        <w:rPr>
          <w:rFonts w:ascii="Arial" w:hAnsi="Arial" w:cs="Arial"/>
          <w:sz w:val="18"/>
        </w:rPr>
        <w:t xml:space="preserve"> on our standard change order form. They include:</w:t>
      </w:r>
    </w:p>
    <w:p w:rsidR="00013CF0" w:rsidRPr="00881173" w:rsidRDefault="00013CF0" w:rsidP="005C0A9D">
      <w:pPr>
        <w:rPr>
          <w:rFonts w:ascii="Arial" w:hAnsi="Arial" w:cs="Arial"/>
          <w:sz w:val="18"/>
        </w:rPr>
      </w:pPr>
    </w:p>
    <w:p w:rsidR="0075395C" w:rsidRPr="00881173" w:rsidRDefault="0075395C" w:rsidP="005C0A9D">
      <w:pPr>
        <w:rPr>
          <w:rFonts w:ascii="Arial" w:hAnsi="Arial" w:cs="Arial"/>
          <w:sz w:val="18"/>
        </w:rPr>
      </w:pPr>
      <w:r w:rsidRPr="00881173">
        <w:rPr>
          <w:rFonts w:ascii="Arial" w:hAnsi="Arial" w:cs="Arial"/>
          <w:sz w:val="18"/>
        </w:rPr>
        <w:t>Architect/Engineer Error</w:t>
      </w:r>
    </w:p>
    <w:p w:rsidR="0075395C" w:rsidRPr="00881173" w:rsidRDefault="0075395C" w:rsidP="005C0A9D">
      <w:pPr>
        <w:rPr>
          <w:rFonts w:ascii="Arial" w:hAnsi="Arial" w:cs="Arial"/>
          <w:sz w:val="18"/>
        </w:rPr>
      </w:pPr>
      <w:r w:rsidRPr="00881173">
        <w:rPr>
          <w:rFonts w:ascii="Arial" w:hAnsi="Arial" w:cs="Arial"/>
          <w:sz w:val="18"/>
        </w:rPr>
        <w:t>Architect/Engineer Omission/Revision</w:t>
      </w:r>
    </w:p>
    <w:p w:rsidR="00013CF0" w:rsidRPr="00881173" w:rsidRDefault="0075395C" w:rsidP="005C0A9D">
      <w:pPr>
        <w:rPr>
          <w:rFonts w:ascii="Arial" w:hAnsi="Arial" w:cs="Arial"/>
          <w:sz w:val="18"/>
        </w:rPr>
      </w:pPr>
      <w:r w:rsidRPr="00881173">
        <w:rPr>
          <w:rFonts w:ascii="Arial" w:hAnsi="Arial" w:cs="Arial"/>
          <w:sz w:val="18"/>
        </w:rPr>
        <w:t>Code Issue</w:t>
      </w:r>
    </w:p>
    <w:p w:rsidR="0075395C" w:rsidRPr="00881173" w:rsidRDefault="0075395C" w:rsidP="005C0A9D">
      <w:pPr>
        <w:rPr>
          <w:rFonts w:ascii="Arial" w:hAnsi="Arial" w:cs="Arial"/>
          <w:sz w:val="18"/>
        </w:rPr>
      </w:pPr>
      <w:r w:rsidRPr="00881173">
        <w:rPr>
          <w:rFonts w:ascii="Arial" w:hAnsi="Arial" w:cs="Arial"/>
          <w:sz w:val="18"/>
        </w:rPr>
        <w:t>Contract Assignment</w:t>
      </w:r>
    </w:p>
    <w:p w:rsidR="00013CF0" w:rsidRPr="00881173" w:rsidRDefault="0075395C" w:rsidP="005C0A9D">
      <w:pPr>
        <w:rPr>
          <w:rFonts w:ascii="Arial" w:hAnsi="Arial" w:cs="Arial"/>
          <w:sz w:val="18"/>
        </w:rPr>
      </w:pPr>
      <w:r w:rsidRPr="00881173">
        <w:rPr>
          <w:rFonts w:ascii="Arial" w:hAnsi="Arial" w:cs="Arial"/>
          <w:sz w:val="18"/>
        </w:rPr>
        <w:t>Field Condition</w:t>
      </w:r>
    </w:p>
    <w:p w:rsidR="0075395C" w:rsidRPr="00881173" w:rsidRDefault="0075395C" w:rsidP="005C0A9D">
      <w:pPr>
        <w:rPr>
          <w:rFonts w:ascii="Arial" w:hAnsi="Arial" w:cs="Arial"/>
          <w:sz w:val="18"/>
        </w:rPr>
      </w:pPr>
      <w:r w:rsidRPr="00881173">
        <w:rPr>
          <w:rFonts w:ascii="Arial" w:hAnsi="Arial" w:cs="Arial"/>
          <w:sz w:val="18"/>
        </w:rPr>
        <w:t>GMP Amendment Change Order</w:t>
      </w:r>
    </w:p>
    <w:p w:rsidR="0075395C" w:rsidRPr="00881173" w:rsidRDefault="0075395C" w:rsidP="005C0A9D">
      <w:pPr>
        <w:rPr>
          <w:rFonts w:ascii="Arial" w:hAnsi="Arial" w:cs="Arial"/>
          <w:sz w:val="18"/>
        </w:rPr>
      </w:pPr>
      <w:r w:rsidRPr="00881173">
        <w:rPr>
          <w:rFonts w:ascii="Arial" w:hAnsi="Arial" w:cs="Arial"/>
          <w:sz w:val="18"/>
        </w:rPr>
        <w:t>Owner Add/Delete Original Scope</w:t>
      </w:r>
    </w:p>
    <w:p w:rsidR="0075395C" w:rsidRPr="00881173" w:rsidRDefault="0075395C" w:rsidP="005C0A9D">
      <w:pPr>
        <w:rPr>
          <w:rFonts w:ascii="Arial" w:hAnsi="Arial" w:cs="Arial"/>
          <w:sz w:val="18"/>
        </w:rPr>
      </w:pPr>
      <w:r w:rsidRPr="00881173">
        <w:rPr>
          <w:rFonts w:ascii="Arial" w:hAnsi="Arial" w:cs="Arial"/>
          <w:sz w:val="18"/>
        </w:rPr>
        <w:t>Accounting Adjustment</w:t>
      </w:r>
    </w:p>
    <w:p w:rsidR="0075395C" w:rsidRPr="00881173" w:rsidRDefault="0075395C" w:rsidP="005C0A9D">
      <w:pPr>
        <w:rPr>
          <w:rFonts w:ascii="Arial" w:hAnsi="Arial" w:cs="Arial"/>
          <w:sz w:val="18"/>
        </w:rPr>
      </w:pPr>
      <w:r w:rsidRPr="00881173">
        <w:rPr>
          <w:rFonts w:ascii="Arial" w:hAnsi="Arial" w:cs="Arial"/>
          <w:sz w:val="18"/>
        </w:rPr>
        <w:t>Allowance Use</w:t>
      </w:r>
    </w:p>
    <w:p w:rsidR="0075395C" w:rsidRPr="00881173" w:rsidRDefault="0075395C" w:rsidP="005C0A9D">
      <w:pPr>
        <w:rPr>
          <w:rFonts w:ascii="Arial" w:hAnsi="Arial" w:cs="Arial"/>
          <w:sz w:val="18"/>
        </w:rPr>
      </w:pPr>
      <w:r w:rsidRPr="00881173">
        <w:rPr>
          <w:rFonts w:ascii="Arial" w:hAnsi="Arial" w:cs="Arial"/>
          <w:sz w:val="18"/>
        </w:rPr>
        <w:t>Design Modification</w:t>
      </w:r>
    </w:p>
    <w:p w:rsidR="00013CF0" w:rsidRPr="00881173" w:rsidRDefault="00013CF0" w:rsidP="005C0A9D">
      <w:pPr>
        <w:rPr>
          <w:rFonts w:ascii="Arial" w:hAnsi="Arial" w:cs="Arial"/>
          <w:sz w:val="18"/>
        </w:rPr>
      </w:pPr>
      <w:r w:rsidRPr="00881173">
        <w:rPr>
          <w:rFonts w:ascii="Arial" w:hAnsi="Arial" w:cs="Arial"/>
          <w:sz w:val="18"/>
        </w:rPr>
        <w:t>Value Engineering</w:t>
      </w:r>
    </w:p>
    <w:p w:rsidR="00013CF0" w:rsidRPr="00881173" w:rsidRDefault="00013CF0" w:rsidP="005C0A9D">
      <w:pPr>
        <w:rPr>
          <w:rFonts w:ascii="Arial" w:hAnsi="Arial" w:cs="Arial"/>
          <w:sz w:val="18"/>
        </w:rPr>
      </w:pPr>
      <w:r w:rsidRPr="00881173">
        <w:rPr>
          <w:rFonts w:ascii="Arial" w:hAnsi="Arial" w:cs="Arial"/>
          <w:sz w:val="18"/>
        </w:rPr>
        <w:t>Differing Condition</w:t>
      </w:r>
    </w:p>
    <w:p w:rsidR="00013CF0" w:rsidRPr="00881173" w:rsidRDefault="00013CF0" w:rsidP="005C0A9D">
      <w:pPr>
        <w:rPr>
          <w:rFonts w:ascii="Arial" w:hAnsi="Arial" w:cs="Arial"/>
          <w:sz w:val="18"/>
        </w:rPr>
      </w:pPr>
      <w:r w:rsidRPr="00881173">
        <w:rPr>
          <w:rFonts w:ascii="Arial" w:hAnsi="Arial" w:cs="Arial"/>
          <w:sz w:val="18"/>
        </w:rPr>
        <w:t>Other</w:t>
      </w:r>
    </w:p>
    <w:p w:rsidR="000B2214" w:rsidRPr="00881173" w:rsidRDefault="000B2214" w:rsidP="005C0A9D">
      <w:pPr>
        <w:rPr>
          <w:rFonts w:ascii="Arial" w:hAnsi="Arial" w:cs="Arial"/>
          <w:sz w:val="18"/>
        </w:rPr>
      </w:pPr>
    </w:p>
    <w:p w:rsidR="000B2214" w:rsidRPr="00881173" w:rsidRDefault="000B2214" w:rsidP="005C0A9D">
      <w:pPr>
        <w:rPr>
          <w:rFonts w:ascii="Arial" w:hAnsi="Arial" w:cs="Arial"/>
          <w:sz w:val="18"/>
        </w:rPr>
      </w:pPr>
      <w:r w:rsidRPr="00881173">
        <w:rPr>
          <w:rFonts w:ascii="Arial" w:hAnsi="Arial" w:cs="Arial"/>
          <w:sz w:val="18"/>
        </w:rPr>
        <w:t>As an FM</w:t>
      </w:r>
      <w:r w:rsidR="000C0744" w:rsidRPr="00881173">
        <w:rPr>
          <w:rFonts w:ascii="Arial" w:hAnsi="Arial" w:cs="Arial"/>
          <w:sz w:val="18"/>
        </w:rPr>
        <w:t>D</w:t>
      </w:r>
      <w:r w:rsidRPr="00881173">
        <w:rPr>
          <w:rFonts w:ascii="Arial" w:hAnsi="Arial" w:cs="Arial"/>
          <w:sz w:val="18"/>
        </w:rPr>
        <w:t xml:space="preserve"> </w:t>
      </w:r>
      <w:r w:rsidR="000C0744" w:rsidRPr="00881173">
        <w:rPr>
          <w:rFonts w:ascii="Arial" w:hAnsi="Arial" w:cs="Arial"/>
          <w:sz w:val="18"/>
        </w:rPr>
        <w:t>Planner/</w:t>
      </w:r>
      <w:r w:rsidRPr="00881173">
        <w:rPr>
          <w:rFonts w:ascii="Arial" w:hAnsi="Arial" w:cs="Arial"/>
          <w:sz w:val="18"/>
        </w:rPr>
        <w:t xml:space="preserve">Project Manager, you are required to track all change orders using these categories and as part of your project closeout these changes will be reviewed </w:t>
      </w:r>
      <w:r w:rsidR="004D768D" w:rsidRPr="00881173">
        <w:rPr>
          <w:rFonts w:ascii="Arial" w:hAnsi="Arial" w:cs="Arial"/>
          <w:sz w:val="18"/>
        </w:rPr>
        <w:t>by the Director</w:t>
      </w:r>
      <w:r w:rsidRPr="00881173">
        <w:rPr>
          <w:rFonts w:ascii="Arial" w:hAnsi="Arial" w:cs="Arial"/>
          <w:sz w:val="18"/>
        </w:rPr>
        <w:t xml:space="preserve"> or equivalent.</w:t>
      </w:r>
    </w:p>
    <w:p w:rsidR="00013CF0" w:rsidRPr="00881173" w:rsidRDefault="00013CF0" w:rsidP="005C0A9D">
      <w:pPr>
        <w:rPr>
          <w:rFonts w:ascii="Arial" w:hAnsi="Arial" w:cs="Arial"/>
          <w:b/>
          <w:sz w:val="18"/>
          <w:u w:val="single"/>
        </w:rPr>
      </w:pPr>
    </w:p>
    <w:p w:rsidR="00013CF0" w:rsidRPr="00881173" w:rsidRDefault="004D768D" w:rsidP="005C0A9D">
      <w:pPr>
        <w:rPr>
          <w:rFonts w:ascii="Arial" w:hAnsi="Arial" w:cs="Arial"/>
          <w:sz w:val="18"/>
        </w:rPr>
      </w:pPr>
      <w:r w:rsidRPr="00881173">
        <w:rPr>
          <w:rFonts w:ascii="Arial" w:hAnsi="Arial" w:cs="Arial"/>
          <w:b/>
          <w:sz w:val="18"/>
          <w:u w:val="single"/>
        </w:rPr>
        <w:t xml:space="preserve">Architect/Engineer </w:t>
      </w:r>
      <w:r w:rsidR="00013CF0" w:rsidRPr="00881173">
        <w:rPr>
          <w:rFonts w:ascii="Arial" w:hAnsi="Arial" w:cs="Arial"/>
          <w:b/>
          <w:sz w:val="18"/>
          <w:u w:val="single"/>
        </w:rPr>
        <w:t>Error</w:t>
      </w:r>
      <w:r w:rsidR="00013CF0" w:rsidRPr="00881173">
        <w:rPr>
          <w:rFonts w:ascii="Arial" w:hAnsi="Arial" w:cs="Arial"/>
          <w:sz w:val="18"/>
        </w:rPr>
        <w:t xml:space="preserve">: A change </w:t>
      </w:r>
      <w:r w:rsidR="006431A5" w:rsidRPr="00881173">
        <w:rPr>
          <w:rFonts w:ascii="Arial" w:hAnsi="Arial" w:cs="Arial"/>
          <w:sz w:val="18"/>
        </w:rPr>
        <w:t>caused</w:t>
      </w:r>
      <w:r w:rsidR="00013CF0" w:rsidRPr="00881173">
        <w:rPr>
          <w:rFonts w:ascii="Arial" w:hAnsi="Arial" w:cs="Arial"/>
          <w:sz w:val="18"/>
        </w:rPr>
        <w:t xml:space="preserve"> by</w:t>
      </w:r>
      <w:r w:rsidR="00D74BCE" w:rsidRPr="00881173">
        <w:rPr>
          <w:rFonts w:ascii="Arial" w:hAnsi="Arial" w:cs="Arial"/>
          <w:sz w:val="18"/>
        </w:rPr>
        <w:t xml:space="preserve"> a</w:t>
      </w:r>
      <w:r w:rsidRPr="00881173">
        <w:rPr>
          <w:rFonts w:ascii="Arial" w:hAnsi="Arial" w:cs="Arial"/>
          <w:sz w:val="18"/>
        </w:rPr>
        <w:t>n error i</w:t>
      </w:r>
      <w:r w:rsidR="00013CF0" w:rsidRPr="00881173">
        <w:rPr>
          <w:rFonts w:ascii="Arial" w:hAnsi="Arial" w:cs="Arial"/>
          <w:sz w:val="18"/>
        </w:rPr>
        <w:t>n the cont</w:t>
      </w:r>
      <w:r w:rsidRPr="00881173">
        <w:rPr>
          <w:rFonts w:ascii="Arial" w:hAnsi="Arial" w:cs="Arial"/>
          <w:sz w:val="18"/>
        </w:rPr>
        <w:t>ract documents where the completed work in the field will have to be modified and/or potentially dismantled and rebuilt.</w:t>
      </w:r>
    </w:p>
    <w:p w:rsidR="004D768D" w:rsidRPr="00881173" w:rsidRDefault="004D768D" w:rsidP="005C0A9D">
      <w:pPr>
        <w:rPr>
          <w:rFonts w:ascii="Arial" w:hAnsi="Arial" w:cs="Arial"/>
          <w:sz w:val="18"/>
        </w:rPr>
      </w:pPr>
    </w:p>
    <w:p w:rsidR="004D768D" w:rsidRPr="00881173" w:rsidRDefault="004D768D" w:rsidP="004D768D">
      <w:pPr>
        <w:rPr>
          <w:rFonts w:ascii="Arial" w:hAnsi="Arial" w:cs="Arial"/>
          <w:sz w:val="18"/>
        </w:rPr>
      </w:pPr>
      <w:r w:rsidRPr="00881173">
        <w:rPr>
          <w:rFonts w:ascii="Arial" w:hAnsi="Arial" w:cs="Arial"/>
          <w:b/>
          <w:sz w:val="18"/>
          <w:u w:val="single"/>
        </w:rPr>
        <w:t>Architect/Engineer Omission</w:t>
      </w:r>
      <w:r w:rsidRPr="00881173">
        <w:rPr>
          <w:rFonts w:ascii="Arial" w:hAnsi="Arial" w:cs="Arial"/>
          <w:sz w:val="18"/>
        </w:rPr>
        <w:t xml:space="preserve">: A change caused by an omission that was intended to be included in the contract documents or should have been included within the “standard of care” of the profession.  The deletion did not allow the work to be competitively bid along with the main scope of work </w:t>
      </w:r>
      <w:bookmarkStart w:id="0" w:name="_GoBack"/>
      <w:bookmarkEnd w:id="0"/>
      <w:r w:rsidRPr="00881173">
        <w:rPr>
          <w:rFonts w:ascii="Arial" w:hAnsi="Arial" w:cs="Arial"/>
          <w:sz w:val="18"/>
        </w:rPr>
        <w:t>resulting in a premium cost for a separate pricing exercise.</w:t>
      </w:r>
    </w:p>
    <w:p w:rsidR="004D768D" w:rsidRPr="00881173" w:rsidRDefault="004D768D" w:rsidP="004D768D">
      <w:pPr>
        <w:rPr>
          <w:rFonts w:ascii="Arial" w:hAnsi="Arial" w:cs="Arial"/>
          <w:sz w:val="18"/>
        </w:rPr>
      </w:pPr>
    </w:p>
    <w:p w:rsidR="004D768D" w:rsidRPr="00881173" w:rsidRDefault="004D768D" w:rsidP="004D768D">
      <w:pPr>
        <w:rPr>
          <w:rFonts w:ascii="Arial" w:hAnsi="Arial" w:cs="Arial"/>
          <w:sz w:val="18"/>
        </w:rPr>
      </w:pPr>
      <w:r w:rsidRPr="00881173">
        <w:rPr>
          <w:rFonts w:ascii="Arial" w:hAnsi="Arial" w:cs="Arial"/>
          <w:b/>
          <w:sz w:val="18"/>
          <w:u w:val="single"/>
        </w:rPr>
        <w:t>Code Issue</w:t>
      </w:r>
      <w:r w:rsidRPr="00881173">
        <w:rPr>
          <w:rFonts w:ascii="Arial" w:hAnsi="Arial" w:cs="Arial"/>
          <w:sz w:val="18"/>
        </w:rPr>
        <w:t xml:space="preserve">:  </w:t>
      </w:r>
      <w:r w:rsidR="00327C28" w:rsidRPr="00881173">
        <w:rPr>
          <w:rFonts w:ascii="Arial" w:hAnsi="Arial" w:cs="Arial"/>
          <w:sz w:val="18"/>
        </w:rPr>
        <w:t>This is for a</w:t>
      </w:r>
      <w:r w:rsidRPr="00881173">
        <w:rPr>
          <w:rFonts w:ascii="Arial" w:hAnsi="Arial" w:cs="Arial"/>
          <w:sz w:val="18"/>
        </w:rPr>
        <w:t xml:space="preserve"> change required by the Authority Having Jurisdiction over the project for the pertinent scope of work.</w:t>
      </w:r>
    </w:p>
    <w:p w:rsidR="004D768D" w:rsidRPr="00881173" w:rsidRDefault="004D768D" w:rsidP="004D768D">
      <w:pPr>
        <w:rPr>
          <w:rFonts w:ascii="Arial" w:hAnsi="Arial" w:cs="Arial"/>
          <w:sz w:val="18"/>
        </w:rPr>
      </w:pPr>
    </w:p>
    <w:p w:rsidR="00013CF0" w:rsidRPr="00881173" w:rsidRDefault="004D768D" w:rsidP="005C0A9D">
      <w:pPr>
        <w:rPr>
          <w:rFonts w:ascii="Arial" w:hAnsi="Arial" w:cs="Arial"/>
          <w:sz w:val="18"/>
        </w:rPr>
      </w:pPr>
      <w:r w:rsidRPr="00881173">
        <w:rPr>
          <w:rFonts w:ascii="Arial" w:hAnsi="Arial" w:cs="Arial"/>
          <w:b/>
          <w:sz w:val="18"/>
          <w:u w:val="single"/>
        </w:rPr>
        <w:t>Contract Assignment</w:t>
      </w:r>
      <w:r w:rsidRPr="00881173">
        <w:rPr>
          <w:rFonts w:ascii="Arial" w:hAnsi="Arial" w:cs="Arial"/>
          <w:sz w:val="18"/>
        </w:rPr>
        <w:t xml:space="preserve">: </w:t>
      </w:r>
      <w:r w:rsidR="00A5707F" w:rsidRPr="00881173">
        <w:rPr>
          <w:rFonts w:ascii="Arial" w:hAnsi="Arial" w:cs="Arial"/>
          <w:sz w:val="18"/>
        </w:rPr>
        <w:t>This</w:t>
      </w:r>
      <w:r w:rsidRPr="00881173">
        <w:rPr>
          <w:rFonts w:ascii="Arial" w:hAnsi="Arial" w:cs="Arial"/>
          <w:sz w:val="18"/>
        </w:rPr>
        <w:t xml:space="preserve"> is most often associated with a University direct-purchase that is assigned to the GC </w:t>
      </w:r>
      <w:r w:rsidR="00A5707F" w:rsidRPr="00881173">
        <w:rPr>
          <w:rFonts w:ascii="Arial" w:hAnsi="Arial" w:cs="Arial"/>
          <w:sz w:val="18"/>
        </w:rPr>
        <w:t xml:space="preserve">for a fee percentage </w:t>
      </w:r>
      <w:r w:rsidRPr="00881173">
        <w:rPr>
          <w:rFonts w:ascii="Arial" w:hAnsi="Arial" w:cs="Arial"/>
          <w:sz w:val="18"/>
        </w:rPr>
        <w:t xml:space="preserve">for coordination </w:t>
      </w:r>
      <w:r w:rsidR="00A5707F" w:rsidRPr="00881173">
        <w:rPr>
          <w:rFonts w:ascii="Arial" w:hAnsi="Arial" w:cs="Arial"/>
          <w:sz w:val="18"/>
        </w:rPr>
        <w:t xml:space="preserve">of the work </w:t>
      </w:r>
      <w:r w:rsidRPr="00881173">
        <w:rPr>
          <w:rFonts w:ascii="Arial" w:hAnsi="Arial" w:cs="Arial"/>
          <w:sz w:val="18"/>
        </w:rPr>
        <w:t>in the field</w:t>
      </w:r>
      <w:r w:rsidR="00A5707F" w:rsidRPr="00881173">
        <w:rPr>
          <w:rFonts w:ascii="Arial" w:hAnsi="Arial" w:cs="Arial"/>
          <w:sz w:val="18"/>
        </w:rPr>
        <w:t xml:space="preserve"> associated with the assignment</w:t>
      </w:r>
      <w:r w:rsidRPr="00881173">
        <w:rPr>
          <w:rFonts w:ascii="Arial" w:hAnsi="Arial" w:cs="Arial"/>
          <w:sz w:val="18"/>
        </w:rPr>
        <w:t>.</w:t>
      </w:r>
    </w:p>
    <w:p w:rsidR="004D768D" w:rsidRPr="00881173" w:rsidRDefault="004D768D" w:rsidP="005C0A9D">
      <w:pPr>
        <w:rPr>
          <w:rFonts w:ascii="Arial" w:hAnsi="Arial" w:cs="Arial"/>
          <w:sz w:val="18"/>
        </w:rPr>
      </w:pPr>
    </w:p>
    <w:p w:rsidR="00DF61D6" w:rsidRPr="00881173" w:rsidRDefault="00013CF0" w:rsidP="00DF61D6">
      <w:pPr>
        <w:rPr>
          <w:rFonts w:ascii="Arial" w:hAnsi="Arial" w:cs="Arial"/>
          <w:sz w:val="18"/>
        </w:rPr>
      </w:pPr>
      <w:r w:rsidRPr="00881173">
        <w:rPr>
          <w:rFonts w:ascii="Arial" w:hAnsi="Arial" w:cs="Arial"/>
          <w:b/>
          <w:sz w:val="18"/>
          <w:u w:val="single"/>
        </w:rPr>
        <w:t xml:space="preserve">Field </w:t>
      </w:r>
      <w:r w:rsidR="00050904" w:rsidRPr="00881173">
        <w:rPr>
          <w:rFonts w:ascii="Arial" w:hAnsi="Arial" w:cs="Arial"/>
          <w:b/>
          <w:sz w:val="18"/>
          <w:u w:val="single"/>
        </w:rPr>
        <w:t>Condition</w:t>
      </w:r>
      <w:r w:rsidRPr="00881173">
        <w:rPr>
          <w:rFonts w:ascii="Arial" w:hAnsi="Arial" w:cs="Arial"/>
          <w:sz w:val="18"/>
        </w:rPr>
        <w:t xml:space="preserve">: </w:t>
      </w:r>
      <w:r w:rsidR="00D55447" w:rsidRPr="00881173">
        <w:rPr>
          <w:rFonts w:ascii="Arial" w:hAnsi="Arial" w:cs="Arial"/>
          <w:sz w:val="18"/>
        </w:rPr>
        <w:t xml:space="preserve">This is most often associated with </w:t>
      </w:r>
      <w:r w:rsidR="00050904" w:rsidRPr="00881173">
        <w:rPr>
          <w:rFonts w:ascii="Arial" w:hAnsi="Arial" w:cs="Arial"/>
          <w:sz w:val="18"/>
        </w:rPr>
        <w:t>a hidden condition or unknown that arises during the normal course of the work.  This is typical written as a Time and Materials – not to exceed amount</w:t>
      </w:r>
      <w:r w:rsidR="00A4443B" w:rsidRPr="00881173">
        <w:rPr>
          <w:rFonts w:ascii="Arial" w:hAnsi="Arial" w:cs="Arial"/>
          <w:sz w:val="18"/>
        </w:rPr>
        <w:t xml:space="preserve">. </w:t>
      </w:r>
      <w:r w:rsidR="00DF61D6" w:rsidRPr="00881173">
        <w:rPr>
          <w:rFonts w:ascii="Arial" w:hAnsi="Arial" w:cs="Arial"/>
          <w:sz w:val="18"/>
        </w:rPr>
        <w:t xml:space="preserve"> An example of new construction is encountering a pocket of poor soil or coordination of trades that would have been difficult to anticipate in the design phase. </w:t>
      </w:r>
    </w:p>
    <w:p w:rsidR="00050904" w:rsidRPr="00881173" w:rsidRDefault="00050904" w:rsidP="005C0A9D">
      <w:pPr>
        <w:rPr>
          <w:rFonts w:ascii="Arial" w:hAnsi="Arial" w:cs="Arial"/>
          <w:sz w:val="18"/>
        </w:rPr>
      </w:pPr>
    </w:p>
    <w:p w:rsidR="00050904" w:rsidRPr="00881173" w:rsidRDefault="00050904" w:rsidP="005C0A9D">
      <w:pPr>
        <w:rPr>
          <w:rFonts w:ascii="Arial" w:hAnsi="Arial" w:cs="Arial"/>
          <w:sz w:val="18"/>
        </w:rPr>
      </w:pPr>
      <w:r w:rsidRPr="00881173">
        <w:rPr>
          <w:rFonts w:ascii="Arial" w:hAnsi="Arial" w:cs="Arial"/>
          <w:b/>
          <w:sz w:val="18"/>
          <w:u w:val="single"/>
        </w:rPr>
        <w:t>GMP Amendment Change Order</w:t>
      </w:r>
      <w:r w:rsidRPr="00881173">
        <w:rPr>
          <w:rFonts w:ascii="Arial" w:hAnsi="Arial" w:cs="Arial"/>
          <w:sz w:val="18"/>
        </w:rPr>
        <w:t>: This is an amendment for a GMP contract that was originally written as an “Initial GMP” - based on incomplete contract documents at that time.  Once the scope is completely developed to the point where the CM can provide a reliable GMP amount, a change order amendment is written to the GMP contractor for the “Final GMP” amount.</w:t>
      </w:r>
    </w:p>
    <w:p w:rsidR="00050904" w:rsidRPr="00881173" w:rsidRDefault="00050904" w:rsidP="005C0A9D">
      <w:pPr>
        <w:rPr>
          <w:rFonts w:ascii="Arial" w:hAnsi="Arial" w:cs="Arial"/>
          <w:sz w:val="18"/>
        </w:rPr>
      </w:pPr>
    </w:p>
    <w:p w:rsidR="00050904" w:rsidRPr="00881173" w:rsidRDefault="00A817B2" w:rsidP="00050904">
      <w:pPr>
        <w:rPr>
          <w:rFonts w:ascii="Arial" w:hAnsi="Arial" w:cs="Arial"/>
          <w:sz w:val="18"/>
        </w:rPr>
      </w:pPr>
      <w:r w:rsidRPr="00881173">
        <w:rPr>
          <w:rFonts w:ascii="Arial" w:hAnsi="Arial" w:cs="Arial"/>
          <w:b/>
          <w:sz w:val="18"/>
          <w:u w:val="single"/>
        </w:rPr>
        <w:t>Owner Add/Delete Original Scope</w:t>
      </w:r>
      <w:r w:rsidR="00050904" w:rsidRPr="00881173">
        <w:rPr>
          <w:rFonts w:ascii="Arial" w:hAnsi="Arial" w:cs="Arial"/>
          <w:b/>
          <w:sz w:val="18"/>
          <w:u w:val="single"/>
        </w:rPr>
        <w:t>:</w:t>
      </w:r>
      <w:r w:rsidR="00050904" w:rsidRPr="00881173">
        <w:rPr>
          <w:rFonts w:ascii="Arial" w:hAnsi="Arial" w:cs="Arial"/>
          <w:sz w:val="18"/>
        </w:rPr>
        <w:t xml:space="preserve"> An increase</w:t>
      </w:r>
      <w:r w:rsidRPr="00881173">
        <w:rPr>
          <w:rFonts w:ascii="Arial" w:hAnsi="Arial" w:cs="Arial"/>
          <w:sz w:val="18"/>
        </w:rPr>
        <w:t xml:space="preserve"> or decrease</w:t>
      </w:r>
      <w:r w:rsidR="00050904" w:rsidRPr="00881173">
        <w:rPr>
          <w:rFonts w:ascii="Arial" w:hAnsi="Arial" w:cs="Arial"/>
          <w:sz w:val="18"/>
        </w:rPr>
        <w:t xml:space="preserve"> in the scope of </w:t>
      </w:r>
      <w:r w:rsidRPr="00881173">
        <w:rPr>
          <w:rFonts w:ascii="Arial" w:hAnsi="Arial" w:cs="Arial"/>
          <w:sz w:val="18"/>
        </w:rPr>
        <w:t xml:space="preserve">work outlined in the contract documents either related to </w:t>
      </w:r>
      <w:r w:rsidR="00050904" w:rsidRPr="00881173">
        <w:rPr>
          <w:rFonts w:ascii="Arial" w:hAnsi="Arial" w:cs="Arial"/>
          <w:sz w:val="18"/>
        </w:rPr>
        <w:t xml:space="preserve">the </w:t>
      </w:r>
      <w:r w:rsidRPr="00881173">
        <w:rPr>
          <w:rFonts w:ascii="Arial" w:hAnsi="Arial" w:cs="Arial"/>
          <w:sz w:val="18"/>
        </w:rPr>
        <w:t>P</w:t>
      </w:r>
      <w:r w:rsidR="00050904" w:rsidRPr="00881173">
        <w:rPr>
          <w:rFonts w:ascii="Arial" w:hAnsi="Arial" w:cs="Arial"/>
          <w:sz w:val="18"/>
        </w:rPr>
        <w:t xml:space="preserve">rogram </w:t>
      </w:r>
      <w:r w:rsidRPr="00881173">
        <w:rPr>
          <w:rFonts w:ascii="Arial" w:hAnsi="Arial" w:cs="Arial"/>
          <w:sz w:val="18"/>
        </w:rPr>
        <w:t xml:space="preserve">that benefits the User or the Program that benefits the University. </w:t>
      </w:r>
      <w:r w:rsidR="00050904" w:rsidRPr="00881173">
        <w:rPr>
          <w:rFonts w:ascii="Arial" w:hAnsi="Arial" w:cs="Arial"/>
          <w:sz w:val="18"/>
        </w:rPr>
        <w:t xml:space="preserve"> Examples could be additional casework, moving a wall, higher level finishes</w:t>
      </w:r>
      <w:r w:rsidRPr="00881173">
        <w:rPr>
          <w:rFonts w:ascii="Arial" w:hAnsi="Arial" w:cs="Arial"/>
          <w:sz w:val="18"/>
        </w:rPr>
        <w:t xml:space="preserve"> or</w:t>
      </w:r>
      <w:r w:rsidR="00050904" w:rsidRPr="00881173">
        <w:rPr>
          <w:rFonts w:ascii="Arial" w:hAnsi="Arial" w:cs="Arial"/>
          <w:sz w:val="18"/>
        </w:rPr>
        <w:t xml:space="preserve"> a change in the Building Design Standard</w:t>
      </w:r>
      <w:r w:rsidRPr="00881173">
        <w:rPr>
          <w:rFonts w:ascii="Arial" w:hAnsi="Arial" w:cs="Arial"/>
          <w:sz w:val="18"/>
        </w:rPr>
        <w:t>s.</w:t>
      </w:r>
    </w:p>
    <w:p w:rsidR="00327C28" w:rsidRPr="00881173" w:rsidRDefault="00327C28" w:rsidP="00050904">
      <w:pPr>
        <w:rPr>
          <w:rFonts w:ascii="Arial" w:hAnsi="Arial" w:cs="Arial"/>
          <w:sz w:val="18"/>
        </w:rPr>
      </w:pPr>
    </w:p>
    <w:p w:rsidR="00327C28" w:rsidRPr="00881173" w:rsidRDefault="00327C28" w:rsidP="00327C28">
      <w:pPr>
        <w:rPr>
          <w:rFonts w:ascii="Arial" w:hAnsi="Arial" w:cs="Arial"/>
          <w:sz w:val="18"/>
        </w:rPr>
      </w:pPr>
      <w:r w:rsidRPr="00881173">
        <w:rPr>
          <w:rFonts w:ascii="Arial" w:hAnsi="Arial" w:cs="Arial"/>
          <w:b/>
          <w:sz w:val="18"/>
          <w:u w:val="single"/>
        </w:rPr>
        <w:t>Accounting Adjustment</w:t>
      </w:r>
      <w:r w:rsidRPr="00881173">
        <w:rPr>
          <w:rFonts w:ascii="Arial" w:hAnsi="Arial" w:cs="Arial"/>
          <w:sz w:val="18"/>
        </w:rPr>
        <w:t>: This is</w:t>
      </w:r>
      <w:r w:rsidR="00F56DF9" w:rsidRPr="00881173">
        <w:rPr>
          <w:rFonts w:ascii="Arial" w:hAnsi="Arial" w:cs="Arial"/>
          <w:sz w:val="18"/>
        </w:rPr>
        <w:t xml:space="preserve"> used to close out a purchase order or to reduce the amount of a not-to-exceed contract that came in under the original estimate.</w:t>
      </w:r>
    </w:p>
    <w:p w:rsidR="00327C28" w:rsidRPr="00881173" w:rsidRDefault="00327C28" w:rsidP="00327C28">
      <w:pPr>
        <w:rPr>
          <w:rFonts w:ascii="Arial" w:hAnsi="Arial" w:cs="Arial"/>
          <w:sz w:val="18"/>
        </w:rPr>
      </w:pPr>
    </w:p>
    <w:p w:rsidR="00327C28" w:rsidRPr="00881173" w:rsidRDefault="00327C28" w:rsidP="00327C28">
      <w:pPr>
        <w:rPr>
          <w:rFonts w:ascii="Arial" w:hAnsi="Arial" w:cs="Arial"/>
          <w:sz w:val="18"/>
        </w:rPr>
      </w:pPr>
      <w:r w:rsidRPr="00881173">
        <w:rPr>
          <w:rFonts w:ascii="Arial" w:hAnsi="Arial" w:cs="Arial"/>
          <w:b/>
          <w:sz w:val="18"/>
          <w:u w:val="single"/>
        </w:rPr>
        <w:t>Allowance Use</w:t>
      </w:r>
      <w:r w:rsidRPr="00881173">
        <w:rPr>
          <w:rFonts w:ascii="Arial" w:hAnsi="Arial" w:cs="Arial"/>
          <w:sz w:val="18"/>
        </w:rPr>
        <w:t xml:space="preserve">:  This refers to a change order that is written toward a previously identified scope of work where an allowance (set aside) was set up in the project budget as the scope was not clearly defined at the time of bid. </w:t>
      </w:r>
    </w:p>
    <w:p w:rsidR="00327C28" w:rsidRPr="00881173" w:rsidRDefault="00327C28" w:rsidP="00327C28">
      <w:pPr>
        <w:rPr>
          <w:rFonts w:ascii="Arial" w:hAnsi="Arial" w:cs="Arial"/>
          <w:sz w:val="18"/>
        </w:rPr>
      </w:pPr>
    </w:p>
    <w:p w:rsidR="00D55447" w:rsidRPr="00881173" w:rsidRDefault="00327C28" w:rsidP="005C0A9D">
      <w:pPr>
        <w:rPr>
          <w:rFonts w:ascii="Arial" w:hAnsi="Arial" w:cs="Arial"/>
          <w:sz w:val="18"/>
        </w:rPr>
      </w:pPr>
      <w:r w:rsidRPr="00881173">
        <w:rPr>
          <w:rFonts w:ascii="Arial" w:hAnsi="Arial" w:cs="Arial"/>
          <w:b/>
          <w:sz w:val="18"/>
          <w:u w:val="single"/>
        </w:rPr>
        <w:t>Design Modification</w:t>
      </w:r>
      <w:r w:rsidRPr="00881173">
        <w:rPr>
          <w:rFonts w:ascii="Arial" w:hAnsi="Arial" w:cs="Arial"/>
          <w:sz w:val="18"/>
        </w:rPr>
        <w:t xml:space="preserve">: </w:t>
      </w:r>
      <w:r w:rsidR="00DF61D6" w:rsidRPr="00881173">
        <w:rPr>
          <w:rFonts w:ascii="Arial" w:hAnsi="Arial" w:cs="Arial"/>
          <w:sz w:val="18"/>
        </w:rPr>
        <w:t>This is written for t</w:t>
      </w:r>
      <w:r w:rsidR="00881173" w:rsidRPr="00881173">
        <w:rPr>
          <w:rFonts w:ascii="Arial" w:hAnsi="Arial" w:cs="Arial"/>
          <w:sz w:val="18"/>
        </w:rPr>
        <w:t>h</w:t>
      </w:r>
      <w:r w:rsidR="00DF61D6" w:rsidRPr="00881173">
        <w:rPr>
          <w:rFonts w:ascii="Arial" w:hAnsi="Arial" w:cs="Arial"/>
          <w:sz w:val="18"/>
        </w:rPr>
        <w:t xml:space="preserve">e instances where the Architect/Engineer </w:t>
      </w:r>
      <w:r w:rsidR="002D6653" w:rsidRPr="00881173">
        <w:rPr>
          <w:rFonts w:ascii="Arial" w:hAnsi="Arial" w:cs="Arial"/>
          <w:sz w:val="18"/>
        </w:rPr>
        <w:t>provides a change in the contract documents that clarify scope or provide value to the University.</w:t>
      </w:r>
      <w:r w:rsidR="00D55447" w:rsidRPr="00881173">
        <w:rPr>
          <w:rFonts w:ascii="Arial" w:hAnsi="Arial" w:cs="Arial"/>
          <w:sz w:val="18"/>
        </w:rPr>
        <w:t xml:space="preserve"> </w:t>
      </w:r>
    </w:p>
    <w:p w:rsidR="00D55447" w:rsidRPr="00881173" w:rsidRDefault="00D55447" w:rsidP="005C0A9D">
      <w:pPr>
        <w:rPr>
          <w:rFonts w:ascii="Arial" w:hAnsi="Arial" w:cs="Arial"/>
          <w:sz w:val="18"/>
        </w:rPr>
      </w:pPr>
    </w:p>
    <w:p w:rsidR="00DC2FF7" w:rsidRPr="00881173" w:rsidRDefault="00D55447" w:rsidP="005C0A9D">
      <w:pPr>
        <w:rPr>
          <w:rFonts w:ascii="Arial" w:hAnsi="Arial" w:cs="Arial"/>
          <w:sz w:val="18"/>
        </w:rPr>
      </w:pPr>
      <w:r w:rsidRPr="00881173">
        <w:rPr>
          <w:rFonts w:ascii="Arial" w:hAnsi="Arial" w:cs="Arial"/>
          <w:b/>
          <w:sz w:val="18"/>
          <w:u w:val="single"/>
        </w:rPr>
        <w:t>Other</w:t>
      </w:r>
      <w:r w:rsidR="0071517A" w:rsidRPr="00881173">
        <w:rPr>
          <w:rFonts w:ascii="Arial" w:hAnsi="Arial" w:cs="Arial"/>
          <w:b/>
          <w:sz w:val="18"/>
          <w:u w:val="single"/>
        </w:rPr>
        <w:t xml:space="preserve"> (please specify)</w:t>
      </w:r>
      <w:r w:rsidRPr="00881173">
        <w:rPr>
          <w:rFonts w:ascii="Arial" w:hAnsi="Arial" w:cs="Arial"/>
          <w:b/>
          <w:sz w:val="18"/>
          <w:u w:val="single"/>
        </w:rPr>
        <w:t>:</w:t>
      </w:r>
      <w:r w:rsidRPr="00881173">
        <w:rPr>
          <w:rFonts w:ascii="Arial" w:hAnsi="Arial" w:cs="Arial"/>
          <w:sz w:val="18"/>
        </w:rPr>
        <w:t xml:space="preserve"> Conditions that do not fit the other definitions. An example would be a code official making a determination that was gray and affecting a condition </w:t>
      </w:r>
      <w:r w:rsidR="00645390" w:rsidRPr="00881173">
        <w:rPr>
          <w:rFonts w:ascii="Arial" w:hAnsi="Arial" w:cs="Arial"/>
          <w:sz w:val="18"/>
        </w:rPr>
        <w:t>in the field such</w:t>
      </w:r>
      <w:r w:rsidRPr="00881173">
        <w:rPr>
          <w:rFonts w:ascii="Arial" w:hAnsi="Arial" w:cs="Arial"/>
          <w:sz w:val="18"/>
        </w:rPr>
        <w:t xml:space="preserve"> as a fire rating or addition of exit signs.</w:t>
      </w:r>
    </w:p>
    <w:p w:rsidR="00DC2FF7" w:rsidRPr="00881173" w:rsidRDefault="00DC2FF7" w:rsidP="005C0A9D">
      <w:pPr>
        <w:rPr>
          <w:rFonts w:ascii="Arial" w:hAnsi="Arial" w:cs="Arial"/>
          <w:sz w:val="18"/>
        </w:rPr>
      </w:pPr>
    </w:p>
    <w:p w:rsidR="00C71E4D" w:rsidRPr="00881173" w:rsidRDefault="00C71E4D" w:rsidP="005C0A9D">
      <w:pPr>
        <w:rPr>
          <w:rFonts w:ascii="Arial" w:hAnsi="Arial" w:cs="Arial"/>
          <w:sz w:val="18"/>
        </w:rPr>
      </w:pPr>
      <w:r w:rsidRPr="00881173">
        <w:rPr>
          <w:rFonts w:ascii="Arial" w:hAnsi="Arial" w:cs="Arial"/>
          <w:sz w:val="18"/>
        </w:rPr>
        <w:t>Using the above definitions, the table below must be completed by the PM with the accompanying change order documentation and sent to Project Accounting for processing.</w:t>
      </w:r>
    </w:p>
    <w:p w:rsidR="00C71E4D" w:rsidRPr="00881173" w:rsidRDefault="00C71E4D" w:rsidP="005C0A9D">
      <w:pPr>
        <w:rPr>
          <w:rFonts w:ascii="Arial" w:hAnsi="Arial" w:cs="Arial"/>
          <w:sz w:val="18"/>
        </w:rPr>
      </w:pPr>
    </w:p>
    <w:p w:rsidR="00C71E4D" w:rsidRDefault="00C71E4D" w:rsidP="005C0A9D">
      <w:pPr>
        <w:rPr>
          <w:rFonts w:ascii="Times New Roman" w:hAnsi="Times New Roman"/>
          <w:sz w:val="18"/>
        </w:rPr>
      </w:pPr>
    </w:p>
    <w:p w:rsidR="00881173" w:rsidRDefault="00881173" w:rsidP="005C0A9D">
      <w:pPr>
        <w:rPr>
          <w:rFonts w:ascii="Times New Roman" w:hAnsi="Times New Roman"/>
          <w:sz w:val="18"/>
        </w:rPr>
      </w:pPr>
    </w:p>
    <w:p w:rsidR="00881173" w:rsidRDefault="00881173" w:rsidP="005C0A9D">
      <w:pPr>
        <w:rPr>
          <w:rFonts w:ascii="Times New Roman" w:hAnsi="Times New Roman"/>
          <w:sz w:val="18"/>
        </w:rPr>
      </w:pPr>
    </w:p>
    <w:tbl>
      <w:tblPr>
        <w:tblW w:w="7961" w:type="dxa"/>
        <w:tblInd w:w="93" w:type="dxa"/>
        <w:tblLook w:val="04A0" w:firstRow="1" w:lastRow="0" w:firstColumn="1" w:lastColumn="0" w:noHBand="0" w:noVBand="1"/>
      </w:tblPr>
      <w:tblGrid>
        <w:gridCol w:w="262"/>
        <w:gridCol w:w="262"/>
        <w:gridCol w:w="3291"/>
        <w:gridCol w:w="3242"/>
        <w:gridCol w:w="262"/>
        <w:gridCol w:w="262"/>
        <w:gridCol w:w="222"/>
        <w:gridCol w:w="262"/>
      </w:tblGrid>
      <w:tr w:rsidR="00C71E4D" w:rsidRPr="00C71E4D" w:rsidTr="00C71E4D">
        <w:trPr>
          <w:trHeight w:val="300"/>
        </w:trPr>
        <w:tc>
          <w:tcPr>
            <w:tcW w:w="7961" w:type="dxa"/>
            <w:gridSpan w:val="8"/>
            <w:tcBorders>
              <w:top w:val="nil"/>
              <w:left w:val="nil"/>
              <w:bottom w:val="nil"/>
              <w:right w:val="nil"/>
            </w:tcBorders>
            <w:shd w:val="clear" w:color="auto" w:fill="auto"/>
            <w:noWrap/>
            <w:vAlign w:val="bottom"/>
            <w:hideMark/>
          </w:tcPr>
          <w:p w:rsidR="00C71E4D" w:rsidRPr="00881173" w:rsidRDefault="00881173" w:rsidP="00C71E4D">
            <w:pPr>
              <w:jc w:val="center"/>
              <w:rPr>
                <w:rFonts w:ascii="Times New Roman" w:eastAsia="Times New Roman" w:hAnsi="Times New Roman"/>
                <w:b/>
                <w:color w:val="000000"/>
                <w:sz w:val="18"/>
                <w:szCs w:val="18"/>
              </w:rPr>
            </w:pPr>
            <w:r w:rsidRPr="00881173">
              <w:rPr>
                <w:rFonts w:ascii="Times New Roman" w:eastAsia="Times New Roman" w:hAnsi="Times New Roman"/>
                <w:b/>
                <w:color w:val="000000"/>
                <w:sz w:val="18"/>
                <w:szCs w:val="18"/>
              </w:rPr>
              <w:t>PCO TEMPLATE</w:t>
            </w: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4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b/>
                <w:bCs/>
                <w:color w:val="000000"/>
                <w:sz w:val="18"/>
                <w:szCs w:val="18"/>
              </w:rPr>
            </w:pPr>
            <w:r w:rsidRPr="00C71E4D">
              <w:rPr>
                <w:rFonts w:ascii="Times New Roman" w:eastAsia="Times New Roman" w:hAnsi="Times New Roman"/>
                <w:b/>
                <w:bCs/>
                <w:color w:val="000000"/>
                <w:sz w:val="18"/>
                <w:szCs w:val="18"/>
              </w:rPr>
              <w:t xml:space="preserve">Project#  </w:t>
            </w:r>
          </w:p>
        </w:tc>
        <w:tc>
          <w:tcPr>
            <w:tcW w:w="324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26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xml:space="preserve"> </w:t>
            </w:r>
          </w:p>
        </w:tc>
        <w:tc>
          <w:tcPr>
            <w:tcW w:w="26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b/>
                <w:bCs/>
                <w:color w:val="000000"/>
                <w:sz w:val="18"/>
                <w:szCs w:val="18"/>
              </w:rPr>
            </w:pPr>
            <w:r w:rsidRPr="00C71E4D">
              <w:rPr>
                <w:rFonts w:ascii="Times New Roman" w:eastAsia="Times New Roman" w:hAnsi="Times New Roman"/>
                <w:b/>
                <w:bCs/>
                <w:color w:val="000000"/>
                <w:sz w:val="18"/>
                <w:szCs w:val="18"/>
              </w:rPr>
              <w:t>Vendor</w:t>
            </w:r>
          </w:p>
        </w:tc>
        <w:tc>
          <w:tcPr>
            <w:tcW w:w="324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26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26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b/>
                <w:bCs/>
                <w:color w:val="000000"/>
                <w:sz w:val="18"/>
                <w:szCs w:val="18"/>
              </w:rPr>
            </w:pPr>
            <w:r w:rsidRPr="00C71E4D">
              <w:rPr>
                <w:rFonts w:ascii="Times New Roman" w:eastAsia="Times New Roman" w:hAnsi="Times New Roman"/>
                <w:b/>
                <w:bCs/>
                <w:color w:val="000000"/>
                <w:sz w:val="18"/>
                <w:szCs w:val="18"/>
              </w:rPr>
              <w:t>PCO/COR#</w:t>
            </w:r>
          </w:p>
        </w:tc>
        <w:tc>
          <w:tcPr>
            <w:tcW w:w="324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26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26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b/>
                <w:bCs/>
                <w:color w:val="000000"/>
                <w:sz w:val="18"/>
                <w:szCs w:val="18"/>
              </w:rPr>
            </w:pPr>
            <w:r w:rsidRPr="00C71E4D">
              <w:rPr>
                <w:rFonts w:ascii="Times New Roman" w:eastAsia="Times New Roman" w:hAnsi="Times New Roman"/>
                <w:b/>
                <w:bCs/>
                <w:color w:val="000000"/>
                <w:sz w:val="18"/>
                <w:szCs w:val="18"/>
              </w:rPr>
              <w:t>PCO Date</w:t>
            </w:r>
          </w:p>
        </w:tc>
        <w:tc>
          <w:tcPr>
            <w:tcW w:w="324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26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xml:space="preserve"> </w:t>
            </w:r>
          </w:p>
        </w:tc>
        <w:tc>
          <w:tcPr>
            <w:tcW w:w="262"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b/>
                <w:bCs/>
                <w:color w:val="000000"/>
                <w:sz w:val="18"/>
                <w:szCs w:val="18"/>
              </w:rPr>
            </w:pPr>
          </w:p>
        </w:tc>
        <w:tc>
          <w:tcPr>
            <w:tcW w:w="324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7961" w:type="dxa"/>
            <w:gridSpan w:val="8"/>
            <w:tcBorders>
              <w:top w:val="nil"/>
              <w:left w:val="nil"/>
              <w:bottom w:val="nil"/>
              <w:right w:val="nil"/>
            </w:tcBorders>
            <w:shd w:val="clear" w:color="000000" w:fill="BFBFBF"/>
            <w:noWrap/>
            <w:vAlign w:val="bottom"/>
            <w:hideMark/>
          </w:tcPr>
          <w:p w:rsidR="00C71E4D" w:rsidRPr="00C71E4D" w:rsidRDefault="00C71E4D" w:rsidP="00C71E4D">
            <w:pPr>
              <w:jc w:val="center"/>
              <w:rPr>
                <w:rFonts w:ascii="Times New Roman" w:eastAsia="Times New Roman" w:hAnsi="Times New Roman"/>
                <w:b/>
                <w:bCs/>
                <w:color w:val="000000"/>
                <w:sz w:val="18"/>
                <w:szCs w:val="18"/>
              </w:rPr>
            </w:pPr>
            <w:r w:rsidRPr="00C71E4D">
              <w:rPr>
                <w:rFonts w:ascii="Times New Roman" w:eastAsia="Times New Roman" w:hAnsi="Times New Roman"/>
                <w:b/>
                <w:bCs/>
                <w:color w:val="000000"/>
                <w:sz w:val="18"/>
                <w:szCs w:val="18"/>
              </w:rPr>
              <w:t>PCO REASON - (pick one)</w:t>
            </w: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766" w:type="dxa"/>
            <w:gridSpan w:val="3"/>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Architect/Engineer Error</w:t>
            </w: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884" w:type="dxa"/>
            <w:gridSpan w:val="4"/>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Architect/Engineer Omission/Rev.</w:t>
            </w: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24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Code Issue</w:t>
            </w: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504" w:type="dxa"/>
            <w:gridSpan w:val="2"/>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Contract Assignment</w:t>
            </w: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504" w:type="dxa"/>
            <w:gridSpan w:val="2"/>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Field Condition</w:t>
            </w: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504" w:type="dxa"/>
            <w:gridSpan w:val="2"/>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GMP change order</w:t>
            </w: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884" w:type="dxa"/>
            <w:gridSpan w:val="4"/>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Owner Add/Delete Original Scope</w:t>
            </w: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766" w:type="dxa"/>
            <w:gridSpan w:val="3"/>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Accounting Adjustment</w:t>
            </w: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504" w:type="dxa"/>
            <w:gridSpan w:val="2"/>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Allowance Use</w:t>
            </w: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504" w:type="dxa"/>
            <w:gridSpan w:val="2"/>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xml:space="preserve">Design Modification </w:t>
            </w: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766" w:type="dxa"/>
            <w:gridSpan w:val="3"/>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Other (please specify)</w:t>
            </w: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4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000000" w:fill="BFBFBF"/>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262" w:type="dxa"/>
            <w:tcBorders>
              <w:top w:val="nil"/>
              <w:left w:val="nil"/>
              <w:bottom w:val="nil"/>
              <w:right w:val="nil"/>
            </w:tcBorders>
            <w:shd w:val="clear" w:color="000000" w:fill="BFBFBF"/>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7175" w:type="dxa"/>
            <w:gridSpan w:val="5"/>
            <w:tcBorders>
              <w:top w:val="nil"/>
              <w:left w:val="nil"/>
              <w:bottom w:val="nil"/>
              <w:right w:val="nil"/>
            </w:tcBorders>
            <w:shd w:val="clear" w:color="000000" w:fill="BFBFBF"/>
            <w:noWrap/>
            <w:vAlign w:val="bottom"/>
            <w:hideMark/>
          </w:tcPr>
          <w:p w:rsidR="00C71E4D" w:rsidRPr="00C71E4D" w:rsidRDefault="00C71E4D" w:rsidP="00C71E4D">
            <w:pPr>
              <w:jc w:val="center"/>
              <w:rPr>
                <w:rFonts w:ascii="Times New Roman" w:eastAsia="Times New Roman" w:hAnsi="Times New Roman"/>
                <w:b/>
                <w:bCs/>
                <w:color w:val="000000"/>
                <w:sz w:val="18"/>
                <w:szCs w:val="18"/>
              </w:rPr>
            </w:pPr>
            <w:r w:rsidRPr="00C71E4D">
              <w:rPr>
                <w:rFonts w:ascii="Times New Roman" w:eastAsia="Times New Roman" w:hAnsi="Times New Roman"/>
                <w:b/>
                <w:bCs/>
                <w:color w:val="000000"/>
                <w:sz w:val="18"/>
                <w:szCs w:val="18"/>
              </w:rPr>
              <w:t>PCO PAYMENT TYPE/TERM</w:t>
            </w:r>
          </w:p>
        </w:tc>
        <w:tc>
          <w:tcPr>
            <w:tcW w:w="262" w:type="dxa"/>
            <w:tcBorders>
              <w:top w:val="nil"/>
              <w:left w:val="nil"/>
              <w:bottom w:val="nil"/>
              <w:right w:val="nil"/>
            </w:tcBorders>
            <w:shd w:val="clear" w:color="000000" w:fill="BFBFBF"/>
            <w:noWrap/>
            <w:vAlign w:val="bottom"/>
            <w:hideMark/>
          </w:tcPr>
          <w:p w:rsidR="00C71E4D" w:rsidRPr="00C71E4D" w:rsidRDefault="00C71E4D" w:rsidP="00C71E4D">
            <w:pPr>
              <w:jc w:val="center"/>
              <w:rPr>
                <w:rFonts w:ascii="Times New Roman" w:eastAsia="Times New Roman" w:hAnsi="Times New Roman"/>
                <w:b/>
                <w:bCs/>
                <w:color w:val="000000"/>
                <w:sz w:val="18"/>
                <w:szCs w:val="18"/>
              </w:rPr>
            </w:pPr>
            <w:r w:rsidRPr="00C71E4D">
              <w:rPr>
                <w:rFonts w:ascii="Times New Roman" w:eastAsia="Times New Roman" w:hAnsi="Times New Roman"/>
                <w:b/>
                <w:bCs/>
                <w:color w:val="000000"/>
                <w:sz w:val="18"/>
                <w:szCs w:val="18"/>
              </w:rPr>
              <w:t> </w:t>
            </w: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xml:space="preserve"> </w:t>
            </w:r>
          </w:p>
        </w:tc>
        <w:tc>
          <w:tcPr>
            <w:tcW w:w="3504" w:type="dxa"/>
            <w:gridSpan w:val="2"/>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T&amp;M Based on Actuals</w:t>
            </w: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504" w:type="dxa"/>
            <w:gridSpan w:val="2"/>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T&amp;M Not To Exceed</w:t>
            </w: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r w:rsidR="00C71E4D" w:rsidRPr="00C71E4D" w:rsidTr="00C71E4D">
        <w:trPr>
          <w:trHeight w:val="300"/>
        </w:trPr>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3291" w:type="dxa"/>
            <w:tcBorders>
              <w:top w:val="nil"/>
              <w:left w:val="nil"/>
              <w:bottom w:val="single" w:sz="4" w:space="0" w:color="auto"/>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 </w:t>
            </w:r>
          </w:p>
        </w:tc>
        <w:tc>
          <w:tcPr>
            <w:tcW w:w="324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r w:rsidRPr="00C71E4D">
              <w:rPr>
                <w:rFonts w:ascii="Times New Roman" w:eastAsia="Times New Roman" w:hAnsi="Times New Roman"/>
                <w:color w:val="000000"/>
                <w:sz w:val="18"/>
                <w:szCs w:val="18"/>
              </w:rPr>
              <w:t>Lump Sum</w:t>
            </w: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118"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c>
          <w:tcPr>
            <w:tcW w:w="262" w:type="dxa"/>
            <w:tcBorders>
              <w:top w:val="nil"/>
              <w:left w:val="nil"/>
              <w:bottom w:val="nil"/>
              <w:right w:val="nil"/>
            </w:tcBorders>
            <w:shd w:val="clear" w:color="auto" w:fill="auto"/>
            <w:noWrap/>
            <w:vAlign w:val="bottom"/>
            <w:hideMark/>
          </w:tcPr>
          <w:p w:rsidR="00C71E4D" w:rsidRPr="00C71E4D" w:rsidRDefault="00C71E4D" w:rsidP="00C71E4D">
            <w:pPr>
              <w:rPr>
                <w:rFonts w:ascii="Times New Roman" w:eastAsia="Times New Roman" w:hAnsi="Times New Roman"/>
                <w:color w:val="000000"/>
                <w:sz w:val="18"/>
                <w:szCs w:val="18"/>
              </w:rPr>
            </w:pPr>
          </w:p>
        </w:tc>
      </w:tr>
    </w:tbl>
    <w:p w:rsidR="00C71E4D" w:rsidRPr="00C71E4D" w:rsidRDefault="00C71E4D" w:rsidP="005C0A9D">
      <w:pPr>
        <w:rPr>
          <w:rFonts w:ascii="Times New Roman" w:hAnsi="Times New Roman"/>
          <w:sz w:val="18"/>
          <w:szCs w:val="18"/>
        </w:rPr>
      </w:pPr>
    </w:p>
    <w:sectPr w:rsidR="00C71E4D" w:rsidRPr="00C71E4D" w:rsidSect="00881173">
      <w:headerReference w:type="default" r:id="rId6"/>
      <w:footerReference w:type="default" r:id="rId7"/>
      <w:headerReference w:type="first" r:id="rId8"/>
      <w:footerReference w:type="first" r:id="rId9"/>
      <w:pgSz w:w="12240" w:h="15840" w:code="1"/>
      <w:pgMar w:top="1620" w:right="1008" w:bottom="1440" w:left="1440" w:header="90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547" w:rsidRDefault="008B5547">
      <w:r>
        <w:separator/>
      </w:r>
    </w:p>
  </w:endnote>
  <w:endnote w:type="continuationSeparator" w:id="0">
    <w:p w:rsidR="008B5547" w:rsidRDefault="008B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173" w:rsidRDefault="00881173" w:rsidP="00881173">
    <w:pPr>
      <w:pStyle w:val="Footer"/>
    </w:pPr>
    <w:r>
      <w:t xml:space="preserve">Change Order Definitions </w:t>
    </w:r>
    <w:r>
      <w:tab/>
    </w:r>
    <w:r>
      <w:tab/>
      <w:t xml:space="preserve">  12/1/14 rev 4/20/22</w:t>
    </w:r>
  </w:p>
  <w:p w:rsidR="00881173" w:rsidRDefault="00881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214" w:rsidRPr="008A53FB" w:rsidRDefault="000B2214" w:rsidP="000B2214">
    <w:pPr>
      <w:pStyle w:val="Footer"/>
    </w:pPr>
    <w:bookmarkStart w:id="1" w:name="OLE_LINK7"/>
    <w:bookmarkStart w:id="2" w:name="OLE_LINK8"/>
    <w:r>
      <w:t>Change Order Definitions</w:t>
    </w:r>
    <w:r w:rsidR="00881173">
      <w:t xml:space="preserve"> </w:t>
    </w:r>
    <w:r w:rsidR="00881173">
      <w:tab/>
    </w:r>
    <w:r w:rsidR="00881173">
      <w:tab/>
      <w:t xml:space="preserve">  4/20/22</w:t>
    </w:r>
  </w:p>
  <w:bookmarkEnd w:id="1"/>
  <w:bookmarkEnd w:id="2"/>
  <w:p w:rsidR="000B2214" w:rsidRDefault="00881173">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547" w:rsidRDefault="008B5547">
      <w:r>
        <w:separator/>
      </w:r>
    </w:p>
  </w:footnote>
  <w:footnote w:type="continuationSeparator" w:id="0">
    <w:p w:rsidR="008B5547" w:rsidRDefault="008B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D76" w:rsidRDefault="00CE4D76">
    <w:pPr>
      <w:pStyle w:val="Header"/>
      <w:pBdr>
        <w:bottom w:val="single" w:sz="4" w:space="1" w:color="auto"/>
      </w:pBdr>
      <w:tabs>
        <w:tab w:val="clear" w:pos="8640"/>
      </w:tabs>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5537A">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00" w:firstRow="0" w:lastRow="0" w:firstColumn="0" w:lastColumn="0" w:noHBand="0" w:noVBand="0"/>
    </w:tblPr>
    <w:tblGrid>
      <w:gridCol w:w="3833"/>
      <w:gridCol w:w="5959"/>
    </w:tblGrid>
    <w:tr w:rsidR="000B2214" w:rsidRPr="00787535" w:rsidTr="00C558A7">
      <w:tc>
        <w:tcPr>
          <w:tcW w:w="3888" w:type="dxa"/>
        </w:tcPr>
        <w:p w:rsidR="000B2214" w:rsidRPr="00787535" w:rsidRDefault="00881173" w:rsidP="00C558A7">
          <w:pPr>
            <w:spacing w:after="60"/>
            <w:rPr>
              <w:sz w:val="36"/>
              <w:szCs w:val="36"/>
            </w:rPr>
          </w:pPr>
          <w:r>
            <w:rPr>
              <w:noProof/>
              <w:sz w:val="36"/>
              <w:szCs w:val="36"/>
            </w:rPr>
            <w:drawing>
              <wp:inline distT="0" distB="0" distL="0" distR="0">
                <wp:extent cx="1364615" cy="921385"/>
                <wp:effectExtent l="0" t="0" r="0" b="0"/>
                <wp:docPr id="39" name="Picture 39" descr="MED2linehzpos(CMYK)FM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ED2linehzpos(CMYK)FM Transparent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615" cy="921385"/>
                        </a:xfrm>
                        <a:prstGeom prst="rect">
                          <a:avLst/>
                        </a:prstGeom>
                        <a:noFill/>
                        <a:ln>
                          <a:noFill/>
                        </a:ln>
                      </pic:spPr>
                    </pic:pic>
                  </a:graphicData>
                </a:graphic>
              </wp:inline>
            </w:drawing>
          </w:r>
        </w:p>
      </w:tc>
      <w:tc>
        <w:tcPr>
          <w:tcW w:w="6120" w:type="dxa"/>
          <w:vAlign w:val="bottom"/>
        </w:tcPr>
        <w:p w:rsidR="000B2214" w:rsidRDefault="000B2214" w:rsidP="00C558A7">
          <w:pPr>
            <w:jc w:val="right"/>
            <w:rPr>
              <w:sz w:val="36"/>
              <w:szCs w:val="36"/>
            </w:rPr>
          </w:pPr>
        </w:p>
        <w:p w:rsidR="000B2214" w:rsidRPr="00C52C05" w:rsidRDefault="000B2214" w:rsidP="000B2214">
          <w:pPr>
            <w:jc w:val="right"/>
            <w:rPr>
              <w:i/>
              <w:sz w:val="32"/>
              <w:szCs w:val="32"/>
            </w:rPr>
          </w:pPr>
          <w:r w:rsidRPr="00C52C05">
            <w:rPr>
              <w:i/>
              <w:sz w:val="32"/>
              <w:szCs w:val="32"/>
            </w:rPr>
            <w:t>Change Order Definitions</w:t>
          </w:r>
        </w:p>
      </w:tc>
    </w:tr>
  </w:tbl>
  <w:p w:rsidR="00CE4D76" w:rsidRPr="000B2214" w:rsidRDefault="00CE4D76" w:rsidP="000B22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76"/>
    <w:rsid w:val="00013CF0"/>
    <w:rsid w:val="00050904"/>
    <w:rsid w:val="0005588E"/>
    <w:rsid w:val="000A4B55"/>
    <w:rsid w:val="000B2214"/>
    <w:rsid w:val="000C0744"/>
    <w:rsid w:val="001B0023"/>
    <w:rsid w:val="001F335C"/>
    <w:rsid w:val="00270CC0"/>
    <w:rsid w:val="002D6653"/>
    <w:rsid w:val="00327C28"/>
    <w:rsid w:val="00397A6A"/>
    <w:rsid w:val="003B0EC2"/>
    <w:rsid w:val="00404E69"/>
    <w:rsid w:val="004301C1"/>
    <w:rsid w:val="004D768D"/>
    <w:rsid w:val="00585847"/>
    <w:rsid w:val="005B0182"/>
    <w:rsid w:val="005C0A9D"/>
    <w:rsid w:val="006431A5"/>
    <w:rsid w:val="00645390"/>
    <w:rsid w:val="00663765"/>
    <w:rsid w:val="00705536"/>
    <w:rsid w:val="0071517A"/>
    <w:rsid w:val="0075395C"/>
    <w:rsid w:val="00756E16"/>
    <w:rsid w:val="00797F7F"/>
    <w:rsid w:val="00881173"/>
    <w:rsid w:val="008B5547"/>
    <w:rsid w:val="00933066"/>
    <w:rsid w:val="009D27A2"/>
    <w:rsid w:val="00A203EA"/>
    <w:rsid w:val="00A4443B"/>
    <w:rsid w:val="00A5707F"/>
    <w:rsid w:val="00A817B2"/>
    <w:rsid w:val="00B56A25"/>
    <w:rsid w:val="00C0713B"/>
    <w:rsid w:val="00C52C05"/>
    <w:rsid w:val="00C558A7"/>
    <w:rsid w:val="00C71E4D"/>
    <w:rsid w:val="00CE4D76"/>
    <w:rsid w:val="00D32082"/>
    <w:rsid w:val="00D55447"/>
    <w:rsid w:val="00D74BCE"/>
    <w:rsid w:val="00D75C5E"/>
    <w:rsid w:val="00DC0491"/>
    <w:rsid w:val="00DC2FF7"/>
    <w:rsid w:val="00DE47D2"/>
    <w:rsid w:val="00DF61D6"/>
    <w:rsid w:val="00E20B7A"/>
    <w:rsid w:val="00E5537A"/>
    <w:rsid w:val="00ED6B28"/>
    <w:rsid w:val="00F56DF9"/>
    <w:rsid w:val="00F80865"/>
    <w:rsid w:val="00FA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6374C0D-9E5C-4B21-A8C8-CC9E1759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bottom w:val="single" w:sz="4" w:space="1" w:color="A90034"/>
      </w:pBdr>
      <w:spacing w:after="220"/>
      <w:outlineLvl w:val="0"/>
    </w:pPr>
    <w:rPr>
      <w:rFonts w:ascii="Times New Roman" w:hAnsi="Times New Roman"/>
      <w:b/>
      <w:color w:val="A90034"/>
      <w:sz w:val="22"/>
    </w:rPr>
  </w:style>
  <w:style w:type="paragraph" w:styleId="Heading2">
    <w:name w:val="heading 2"/>
    <w:basedOn w:val="Normal"/>
    <w:next w:val="Normal"/>
    <w:qFormat/>
    <w:pPr>
      <w:keepNext/>
      <w:spacing w:after="220"/>
      <w:outlineLvl w:val="1"/>
    </w:pPr>
    <w:rPr>
      <w:rFonts w:ascii="Times New Roman" w:hAnsi="Times New Roman"/>
      <w:b/>
      <w:bCs/>
      <w:sz w:val="22"/>
      <w:szCs w:val="28"/>
    </w:rPr>
  </w:style>
  <w:style w:type="paragraph" w:styleId="Heading3">
    <w:name w:val="heading 3"/>
    <w:basedOn w:val="Normal"/>
    <w:next w:val="Normal"/>
    <w:qFormat/>
    <w:pPr>
      <w:keepNext/>
      <w:spacing w:after="220"/>
      <w:outlineLvl w:val="2"/>
    </w:pPr>
    <w:rPr>
      <w:rFonts w:ascii="Times New Roman" w:hAnsi="Times New Roman"/>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Text">
    <w:name w:val="Text"/>
    <w:basedOn w:val="Normal"/>
    <w:pPr>
      <w:tabs>
        <w:tab w:val="left" w:pos="4320"/>
      </w:tabs>
    </w:pPr>
    <w:rPr>
      <w:sz w:val="24"/>
    </w:rPr>
  </w:style>
  <w:style w:type="character" w:customStyle="1" w:styleId="FooterChar">
    <w:name w:val="Footer Char"/>
    <w:link w:val="Footer"/>
    <w:rsid w:val="000B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2334">
      <w:bodyDiv w:val="1"/>
      <w:marLeft w:val="0"/>
      <w:marRight w:val="0"/>
      <w:marTop w:val="0"/>
      <w:marBottom w:val="0"/>
      <w:divBdr>
        <w:top w:val="none" w:sz="0" w:space="0" w:color="auto"/>
        <w:left w:val="none" w:sz="0" w:space="0" w:color="auto"/>
        <w:bottom w:val="none" w:sz="0" w:space="0" w:color="auto"/>
        <w:right w:val="none" w:sz="0" w:space="0" w:color="auto"/>
      </w:divBdr>
    </w:div>
    <w:div w:id="793789873">
      <w:bodyDiv w:val="1"/>
      <w:marLeft w:val="0"/>
      <w:marRight w:val="0"/>
      <w:marTop w:val="0"/>
      <w:marBottom w:val="0"/>
      <w:divBdr>
        <w:top w:val="none" w:sz="0" w:space="0" w:color="auto"/>
        <w:left w:val="none" w:sz="0" w:space="0" w:color="auto"/>
        <w:bottom w:val="none" w:sz="0" w:space="0" w:color="auto"/>
        <w:right w:val="none" w:sz="0" w:space="0" w:color="auto"/>
      </w:divBdr>
    </w:div>
    <w:div w:id="1304115163">
      <w:bodyDiv w:val="1"/>
      <w:marLeft w:val="0"/>
      <w:marRight w:val="0"/>
      <w:marTop w:val="0"/>
      <w:marBottom w:val="0"/>
      <w:divBdr>
        <w:top w:val="none" w:sz="0" w:space="0" w:color="auto"/>
        <w:left w:val="none" w:sz="0" w:space="0" w:color="auto"/>
        <w:bottom w:val="none" w:sz="0" w:space="0" w:color="auto"/>
        <w:right w:val="none" w:sz="0" w:space="0" w:color="auto"/>
      </w:divBdr>
    </w:div>
    <w:div w:id="210345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4157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Nickell</dc:creator>
  <cp:keywords/>
  <cp:lastModifiedBy>Sagehorn, Dee</cp:lastModifiedBy>
  <cp:revision>4</cp:revision>
  <cp:lastPrinted>2014-12-01T18:37:00Z</cp:lastPrinted>
  <dcterms:created xsi:type="dcterms:W3CDTF">2022-04-20T19:52:00Z</dcterms:created>
  <dcterms:modified xsi:type="dcterms:W3CDTF">2022-05-02T14:26:00Z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