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8A44C24" w14:textId="77777777" w:rsidR="008242C1" w:rsidRPr="00E1391D" w:rsidRDefault="00DB1EAF" w:rsidP="00756595">
      <w:pPr>
        <w:pStyle w:val="Heading1"/>
        <w:spacing w:before="0"/>
      </w:pPr>
      <w:r>
        <w:t>conduits</w:t>
      </w:r>
      <w:r w:rsidR="00ED4EA2">
        <w:t>, fittings and boxes</w:t>
      </w:r>
    </w:p>
    <w:p w14:paraId="5209EA47" w14:textId="77777777" w:rsidR="008242C1" w:rsidRDefault="00E1391D" w:rsidP="00E1391D">
      <w:pPr>
        <w:pStyle w:val="Heading2"/>
      </w:pPr>
      <w:r w:rsidRPr="00E1391D">
        <w:t>DESIGN</w:t>
      </w:r>
      <w:r>
        <w:t xml:space="preserve"> </w:t>
      </w:r>
      <w:r w:rsidR="003B4609">
        <w:t>GUIDELINES</w:t>
      </w:r>
    </w:p>
    <w:p w14:paraId="616D8088" w14:textId="77777777" w:rsidR="00926526" w:rsidRDefault="00926526" w:rsidP="00926526">
      <w:pPr>
        <w:rPr>
          <w:sz w:val="16"/>
          <w:szCs w:val="16"/>
        </w:rPr>
      </w:pPr>
      <w:r>
        <w:t>Summary:</w:t>
      </w:r>
    </w:p>
    <w:p w14:paraId="535B2112" w14:textId="05960E2D" w:rsidR="00DB1EAF" w:rsidRDefault="00926526" w:rsidP="004B5F3C">
      <w:pPr>
        <w:numPr>
          <w:ilvl w:val="1"/>
          <w:numId w:val="2"/>
        </w:numPr>
      </w:pPr>
      <w:r>
        <w:t>This section provid</w:t>
      </w:r>
      <w:r w:rsidR="00823AF7">
        <w:t xml:space="preserve">es guidelines and standards for </w:t>
      </w:r>
      <w:r w:rsidR="00DB1EAF">
        <w:t>Conduit</w:t>
      </w:r>
      <w:r w:rsidR="00823AF7">
        <w:t xml:space="preserve">, </w:t>
      </w:r>
      <w:r w:rsidR="00C10897">
        <w:t>MC Cable</w:t>
      </w:r>
      <w:r w:rsidR="00823AF7">
        <w:t xml:space="preserve">, </w:t>
      </w:r>
      <w:r w:rsidR="0080558A">
        <w:t>Surface Raceway</w:t>
      </w:r>
      <w:r w:rsidR="00823AF7">
        <w:t xml:space="preserve">, </w:t>
      </w:r>
      <w:r w:rsidR="00DB1EAF">
        <w:t>Boxes</w:t>
      </w:r>
      <w:r w:rsidR="00823AF7">
        <w:t xml:space="preserve"> and Fittings.</w:t>
      </w:r>
    </w:p>
    <w:p w14:paraId="6A107E83" w14:textId="77777777" w:rsidR="007B4ACA" w:rsidRDefault="007B4ACA" w:rsidP="007B4ACA">
      <w:pPr>
        <w:numPr>
          <w:ilvl w:val="0"/>
          <w:numId w:val="2"/>
        </w:numPr>
      </w:pPr>
      <w:r>
        <w:t>Design</w:t>
      </w:r>
    </w:p>
    <w:p w14:paraId="15D252AA" w14:textId="77777777" w:rsidR="00201436" w:rsidRDefault="00AE33CC" w:rsidP="0052441C">
      <w:pPr>
        <w:numPr>
          <w:ilvl w:val="1"/>
          <w:numId w:val="2"/>
        </w:numPr>
      </w:pPr>
      <w:r>
        <w:t>Conduit</w:t>
      </w:r>
      <w:r w:rsidR="00201436">
        <w:t>:</w:t>
      </w:r>
    </w:p>
    <w:p w14:paraId="40BA0CE3" w14:textId="77777777" w:rsidR="00AE33CC" w:rsidRDefault="00AE33CC" w:rsidP="00AE33CC">
      <w:pPr>
        <w:numPr>
          <w:ilvl w:val="2"/>
          <w:numId w:val="2"/>
        </w:numPr>
      </w:pPr>
      <w:r>
        <w:t>Conduit stubbed up above accessible ceiling for fire alarm, telephone and data shall be turn</w:t>
      </w:r>
      <w:r w:rsidR="00BB0E43">
        <w:t>ed</w:t>
      </w:r>
      <w:r>
        <w:t xml:space="preserve"> into open plenum area at 90 degrees and </w:t>
      </w:r>
      <w:r w:rsidR="00FB3BCA">
        <w:t xml:space="preserve">provided with insulated </w:t>
      </w:r>
      <w:r>
        <w:t>bush</w:t>
      </w:r>
      <w:r w:rsidR="00FB3BCA">
        <w:t>ings</w:t>
      </w:r>
      <w:r>
        <w:t>. Turn into room at a minimum of 10” above drop ceiling tile.</w:t>
      </w:r>
    </w:p>
    <w:p w14:paraId="3C8D4518" w14:textId="77777777" w:rsidR="00926526" w:rsidRDefault="00926526" w:rsidP="00AE33CC">
      <w:pPr>
        <w:numPr>
          <w:ilvl w:val="2"/>
          <w:numId w:val="2"/>
        </w:numPr>
      </w:pPr>
      <w:r>
        <w:t xml:space="preserve">Refer to Fire Alarm System Design Standard for conduit requirements for fire alarm wiring. </w:t>
      </w:r>
    </w:p>
    <w:p w14:paraId="12A08163" w14:textId="77777777" w:rsidR="00AE33CC" w:rsidRDefault="00AE33CC" w:rsidP="00AE33CC">
      <w:pPr>
        <w:numPr>
          <w:ilvl w:val="2"/>
          <w:numId w:val="2"/>
        </w:numPr>
      </w:pPr>
      <w:r>
        <w:t>All conduits shall contain an equipment grounding conductor. The conduit system must not be used as a grounding source.</w:t>
      </w:r>
    </w:p>
    <w:p w14:paraId="32907A5F" w14:textId="77777777" w:rsidR="00AE33CC" w:rsidRDefault="00C3763E" w:rsidP="00AE33CC">
      <w:pPr>
        <w:numPr>
          <w:ilvl w:val="2"/>
          <w:numId w:val="2"/>
        </w:numPr>
      </w:pPr>
      <w:r>
        <w:t>I</w:t>
      </w:r>
      <w:r w:rsidR="00AE33CC">
        <w:t xml:space="preserve">n-slab conduit is </w:t>
      </w:r>
      <w:r>
        <w:t xml:space="preserve">NOT </w:t>
      </w:r>
      <w:r w:rsidR="00AE33CC">
        <w:t>allowed on any project</w:t>
      </w:r>
      <w:r w:rsidR="00926526">
        <w:t xml:space="preserve"> unless specifically approved by WUSM for slab-on-grade feeders</w:t>
      </w:r>
      <w:r w:rsidR="009A7A7D">
        <w:t xml:space="preserve"> or branch circuits serving slab-on-grade floor outlets</w:t>
      </w:r>
      <w:r w:rsidR="00AE33CC">
        <w:t>.</w:t>
      </w:r>
    </w:p>
    <w:p w14:paraId="6BB36C52" w14:textId="77777777" w:rsidR="009A7A7D" w:rsidRDefault="00AE33CC" w:rsidP="00AE33CC">
      <w:pPr>
        <w:numPr>
          <w:ilvl w:val="2"/>
          <w:numId w:val="2"/>
        </w:numPr>
      </w:pPr>
      <w:r w:rsidRPr="00AE33CC">
        <w:t xml:space="preserve">All lighting and receptacle </w:t>
      </w:r>
      <w:r w:rsidR="009A7A7D">
        <w:t>branch circuit homeruns</w:t>
      </w:r>
      <w:r w:rsidRPr="00AE33CC">
        <w:t xml:space="preserve"> shall be in conduit from the source panel out to a </w:t>
      </w:r>
      <w:r w:rsidR="009A7A7D">
        <w:t xml:space="preserve">ceiling </w:t>
      </w:r>
      <w:r w:rsidRPr="00AE33CC">
        <w:t>box in the vicinity of the loads being served. MC</w:t>
      </w:r>
      <w:r w:rsidR="009A7A7D">
        <w:t xml:space="preserve"> </w:t>
      </w:r>
      <w:r w:rsidRPr="00AE33CC">
        <w:t xml:space="preserve">cable </w:t>
      </w:r>
      <w:r w:rsidR="009A7A7D">
        <w:t xml:space="preserve">is allowed from the local homerun junction box down to the devices within the walls. </w:t>
      </w:r>
    </w:p>
    <w:p w14:paraId="5D4F6F83" w14:textId="77777777" w:rsidR="00AE33CC" w:rsidRDefault="00C10897" w:rsidP="00AE33CC">
      <w:pPr>
        <w:numPr>
          <w:ilvl w:val="2"/>
          <w:numId w:val="2"/>
        </w:numPr>
      </w:pPr>
      <w:r>
        <w:t xml:space="preserve">In no case shall MC </w:t>
      </w:r>
      <w:r w:rsidR="00AE33CC" w:rsidRPr="00AE33CC">
        <w:t>cable originate from the source panel.</w:t>
      </w:r>
    </w:p>
    <w:p w14:paraId="4B75D9D1" w14:textId="77777777" w:rsidR="00AE33CC" w:rsidRDefault="00AE33CC" w:rsidP="00AE33CC">
      <w:pPr>
        <w:numPr>
          <w:ilvl w:val="2"/>
          <w:numId w:val="5"/>
        </w:numPr>
      </w:pPr>
      <w:r>
        <w:t>All exposed conduit used in outside/exterior el</w:t>
      </w:r>
      <w:r w:rsidR="009A7A7D">
        <w:t>ectrical applications shall be R</w:t>
      </w:r>
      <w:r>
        <w:t>igid</w:t>
      </w:r>
      <w:r w:rsidR="009A7A7D">
        <w:t>,</w:t>
      </w:r>
      <w:r>
        <w:t xml:space="preserve"> IMC conduit or aluminum.</w:t>
      </w:r>
    </w:p>
    <w:p w14:paraId="03320FFB" w14:textId="77777777" w:rsidR="00515519" w:rsidRDefault="00515519" w:rsidP="00515519">
      <w:pPr>
        <w:numPr>
          <w:ilvl w:val="2"/>
          <w:numId w:val="5"/>
        </w:numPr>
      </w:pPr>
      <w:r>
        <w:t>Electrical Non-Metallic Tubing ENT (blue</w:t>
      </w:r>
      <w:r w:rsidRPr="00515519">
        <w:t xml:space="preserve"> “S</w:t>
      </w:r>
      <w:bookmarkStart w:id="0" w:name="_GoBack"/>
      <w:bookmarkEnd w:id="0"/>
      <w:r w:rsidRPr="00515519">
        <w:t>murf” tubing</w:t>
      </w:r>
      <w:r>
        <w:t>)</w:t>
      </w:r>
      <w:r w:rsidRPr="00515519">
        <w:t xml:space="preserve"> is </w:t>
      </w:r>
      <w:r w:rsidR="00C3763E">
        <w:t>NOT</w:t>
      </w:r>
      <w:r>
        <w:t xml:space="preserve"> </w:t>
      </w:r>
      <w:r w:rsidRPr="00515519">
        <w:t>allowed.</w:t>
      </w:r>
    </w:p>
    <w:p w14:paraId="329BB69F" w14:textId="77777777" w:rsidR="00904CA9" w:rsidRPr="009A7A7D" w:rsidRDefault="00904CA9" w:rsidP="00904CA9">
      <w:pPr>
        <w:numPr>
          <w:ilvl w:val="2"/>
          <w:numId w:val="5"/>
        </w:numPr>
      </w:pPr>
      <w:r w:rsidRPr="009A7A7D">
        <w:t xml:space="preserve">Motors and Vibrating Equipment: Use flexible metal conduit. Use liquid tight flexible metal conduit for installation in exterior locations, moisture or humidity laden atmosphere, corrosive atmosphere, water or spray wash down operations, inside airstream of HVAC units, and locations subject to seepage or dripping of oil, grease, or water. </w:t>
      </w:r>
    </w:p>
    <w:p w14:paraId="04EC123F" w14:textId="4DF4A343" w:rsidR="00447374" w:rsidRDefault="00904CA9" w:rsidP="00447374">
      <w:pPr>
        <w:numPr>
          <w:ilvl w:val="2"/>
          <w:numId w:val="5"/>
        </w:numPr>
      </w:pPr>
      <w:r>
        <w:t>Provide a green equipment grounding conductor with flexible and liquid-tight flexible metal conduit.</w:t>
      </w:r>
    </w:p>
    <w:p w14:paraId="3D282D9D" w14:textId="57659861" w:rsidR="00CB5E2C" w:rsidRDefault="00CB5E2C" w:rsidP="00447374">
      <w:pPr>
        <w:numPr>
          <w:ilvl w:val="2"/>
          <w:numId w:val="5"/>
        </w:numPr>
      </w:pPr>
      <w:r>
        <w:t xml:space="preserve">All junction boxes to be mounted no higher than 3’ – 0” above ceilings for accessibility. </w:t>
      </w:r>
    </w:p>
    <w:p w14:paraId="65D00F97" w14:textId="6F84B75A" w:rsidR="00B41AEA" w:rsidRDefault="00FB3BCA" w:rsidP="00447374">
      <w:pPr>
        <w:numPr>
          <w:ilvl w:val="1"/>
          <w:numId w:val="5"/>
        </w:numPr>
      </w:pPr>
      <w:r>
        <w:t>Surface Raceway</w:t>
      </w:r>
    </w:p>
    <w:p w14:paraId="79F30AEA" w14:textId="4F9A7821" w:rsidR="00FB3BCA" w:rsidRDefault="00FB3BCA" w:rsidP="00FB3BCA">
      <w:pPr>
        <w:numPr>
          <w:ilvl w:val="2"/>
          <w:numId w:val="5"/>
        </w:numPr>
      </w:pPr>
      <w:r>
        <w:t xml:space="preserve">Surface raceway for the routing of branch circuits in finished spaces shall only be utilized where approved by </w:t>
      </w:r>
      <w:r w:rsidR="009A7A7D">
        <w:t>WUSM</w:t>
      </w:r>
      <w:r>
        <w:t>. Where provide</w:t>
      </w:r>
      <w:r w:rsidR="005517FC">
        <w:t>d</w:t>
      </w:r>
      <w:r>
        <w:t>, surface raceways in finished spaces shall be painted to match the surrounding surfaces</w:t>
      </w:r>
      <w:r w:rsidR="009A7A7D">
        <w:t xml:space="preserve"> and style shall be approved by WUSM</w:t>
      </w:r>
      <w:r>
        <w:t xml:space="preserve">. </w:t>
      </w:r>
    </w:p>
    <w:p w14:paraId="7BF6A4E5" w14:textId="77777777" w:rsidR="009B754D" w:rsidRDefault="00AE33CC" w:rsidP="00AE33CC">
      <w:pPr>
        <w:numPr>
          <w:ilvl w:val="1"/>
          <w:numId w:val="2"/>
        </w:numPr>
      </w:pPr>
      <w:r>
        <w:t>Boxes</w:t>
      </w:r>
      <w:r w:rsidR="009B754D">
        <w:t>:</w:t>
      </w:r>
    </w:p>
    <w:p w14:paraId="4020E8FE" w14:textId="77777777" w:rsidR="00CB7FCC" w:rsidRDefault="00CB7FCC" w:rsidP="00AE33CC">
      <w:pPr>
        <w:numPr>
          <w:ilvl w:val="2"/>
          <w:numId w:val="2"/>
        </w:numPr>
      </w:pPr>
      <w:r>
        <w:lastRenderedPageBreak/>
        <w:t>Outlet boxes mounted back-to-back in the same wall are no</w:t>
      </w:r>
      <w:r w:rsidR="00F04AC6">
        <w:t>t</w:t>
      </w:r>
      <w:r>
        <w:t xml:space="preserve"> allowed.</w:t>
      </w:r>
    </w:p>
    <w:p w14:paraId="49971F3B" w14:textId="77777777" w:rsidR="003128E8" w:rsidRDefault="00CB7FCC" w:rsidP="00F04AC6">
      <w:pPr>
        <w:numPr>
          <w:ilvl w:val="2"/>
          <w:numId w:val="2"/>
        </w:numPr>
      </w:pPr>
      <w:r>
        <w:t xml:space="preserve">For </w:t>
      </w:r>
      <w:r w:rsidR="00F04AC6">
        <w:t>rooms</w:t>
      </w:r>
      <w:r>
        <w:t xml:space="preserve"> with special sound requirements, provide fire-stop putty pads on the back side of outlet boxes to reduce sound transmission. </w:t>
      </w:r>
    </w:p>
    <w:p w14:paraId="4595F4CC" w14:textId="77777777" w:rsidR="005116BB" w:rsidRDefault="006D0607" w:rsidP="005116BB">
      <w:r>
        <w:t>Labeling/</w:t>
      </w:r>
      <w:r w:rsidR="00DB1EAF">
        <w:t>Identification</w:t>
      </w:r>
      <w:r w:rsidR="005D5890">
        <w:t>:</w:t>
      </w:r>
    </w:p>
    <w:p w14:paraId="24DD1233" w14:textId="77777777" w:rsidR="00DB1EAF" w:rsidRPr="00DB1EAF" w:rsidRDefault="00DB1EAF" w:rsidP="00DB1EAF">
      <w:pPr>
        <w:numPr>
          <w:ilvl w:val="1"/>
          <w:numId w:val="5"/>
        </w:numPr>
        <w:rPr>
          <w:iCs/>
        </w:rPr>
      </w:pPr>
      <w:r w:rsidRPr="00DB1EAF">
        <w:rPr>
          <w:iCs/>
        </w:rPr>
        <w:t>Identify raceways</w:t>
      </w:r>
      <w:r w:rsidR="00DF7E4A">
        <w:rPr>
          <w:iCs/>
        </w:rPr>
        <w:t>, boxes</w:t>
      </w:r>
      <w:r w:rsidRPr="00DB1EAF">
        <w:rPr>
          <w:iCs/>
        </w:rPr>
        <w:t xml:space="preserve"> and cables of certain systems with color banding</w:t>
      </w:r>
      <w:r w:rsidR="007B2CC8">
        <w:rPr>
          <w:iCs/>
        </w:rPr>
        <w:t xml:space="preserve"> and labeling</w:t>
      </w:r>
      <w:r w:rsidRPr="00DB1EAF">
        <w:rPr>
          <w:iCs/>
        </w:rPr>
        <w:t xml:space="preserve"> as follows:</w:t>
      </w:r>
    </w:p>
    <w:p w14:paraId="500FEB12" w14:textId="77777777" w:rsidR="007B2CC8" w:rsidRDefault="00DF7E4A" w:rsidP="007B2CC8">
      <w:pPr>
        <w:numPr>
          <w:ilvl w:val="2"/>
          <w:numId w:val="5"/>
        </w:numPr>
      </w:pPr>
      <w:r>
        <w:t>Junction box and pull-box</w:t>
      </w:r>
      <w:r w:rsidR="007B2CC8">
        <w:t xml:space="preserve"> covers shall be labeled with permanent marker indicating panel board name and the circuit number(s) of all internal wiring.</w:t>
      </w:r>
    </w:p>
    <w:p w14:paraId="0DB9E264" w14:textId="77777777" w:rsidR="007B2CC8" w:rsidRDefault="007B2CC8" w:rsidP="007B2CC8">
      <w:pPr>
        <w:numPr>
          <w:ilvl w:val="2"/>
          <w:numId w:val="5"/>
        </w:numPr>
      </w:pPr>
      <w:r>
        <w:t xml:space="preserve">Conduits for Systems over 600V </w:t>
      </w:r>
      <w:r w:rsidR="00DF7E4A">
        <w:t xml:space="preserve">shall be labeled with their voltage (ie. “4,160V”). </w:t>
      </w:r>
    </w:p>
    <w:p w14:paraId="2F2EC96E" w14:textId="77777777" w:rsidR="00DB1EAF" w:rsidRPr="00DB1EAF" w:rsidRDefault="00DF7E4A" w:rsidP="00DB1EAF">
      <w:pPr>
        <w:numPr>
          <w:ilvl w:val="2"/>
          <w:numId w:val="5"/>
        </w:numPr>
        <w:rPr>
          <w:iCs/>
        </w:rPr>
      </w:pPr>
      <w:r>
        <w:rPr>
          <w:iCs/>
        </w:rPr>
        <w:t>Fire alarm system conduits shall be solid red or be provided with red b</w:t>
      </w:r>
      <w:r w:rsidR="00DB1EAF" w:rsidRPr="00DB1EAF">
        <w:rPr>
          <w:iCs/>
        </w:rPr>
        <w:t>ands</w:t>
      </w:r>
      <w:r>
        <w:rPr>
          <w:iCs/>
        </w:rPr>
        <w:t xml:space="preserve"> as follows</w:t>
      </w:r>
      <w:r w:rsidR="00DB1EAF" w:rsidRPr="00DB1EAF">
        <w:rPr>
          <w:iCs/>
        </w:rPr>
        <w:t>: Colored adhesive marking tape. Make each color band 2 inches wide, completely encircling the conduit and place adjacent bands of 2-color markings in contact, side by side.</w:t>
      </w:r>
    </w:p>
    <w:p w14:paraId="30F25628" w14:textId="77777777" w:rsidR="00DB1EAF" w:rsidRPr="00DB1EAF" w:rsidRDefault="00DB1EAF" w:rsidP="00DB1EAF">
      <w:pPr>
        <w:numPr>
          <w:ilvl w:val="2"/>
          <w:numId w:val="5"/>
        </w:numPr>
        <w:rPr>
          <w:iCs/>
        </w:rPr>
      </w:pPr>
      <w:r w:rsidRPr="00DB1EAF">
        <w:rPr>
          <w:iCs/>
        </w:rPr>
        <w:t xml:space="preserve">Locate </w:t>
      </w:r>
      <w:r w:rsidR="00DF7E4A">
        <w:rPr>
          <w:iCs/>
        </w:rPr>
        <w:t xml:space="preserve">labels and </w:t>
      </w:r>
      <w:r w:rsidRPr="00DB1EAF">
        <w:rPr>
          <w:iCs/>
        </w:rPr>
        <w:t>bands at changes in direction at penetrations of walls and floors at 50 foot maximum intervals in straight runs and at 25 foot intervals in congested areas.</w:t>
      </w:r>
    </w:p>
    <w:p w14:paraId="5BE00429" w14:textId="77777777" w:rsidR="006B1C83" w:rsidRDefault="006B1C83" w:rsidP="006B1C83">
      <w:r>
        <w:t xml:space="preserve">Firestop: </w:t>
      </w:r>
    </w:p>
    <w:p w14:paraId="3C0C8B9C" w14:textId="77777777" w:rsidR="006B1C83" w:rsidRDefault="006B1C83" w:rsidP="006B1C83">
      <w:pPr>
        <w:numPr>
          <w:ilvl w:val="1"/>
          <w:numId w:val="5"/>
        </w:numPr>
      </w:pPr>
      <w:r w:rsidRPr="006B1C83">
        <w:t>Where conduits, wireways, and other electrical raceways pass through fire partitions, fire walls, smoke partitions, or floors, install a fire stop that provides an effective barrier against the spread of fire, smoke and gases</w:t>
      </w:r>
      <w:r>
        <w:t>.</w:t>
      </w:r>
    </w:p>
    <w:p w14:paraId="4854BD08" w14:textId="77777777" w:rsidR="00FD400A" w:rsidRDefault="001C0EF7" w:rsidP="001C0EF7">
      <w:r>
        <w:t>Related Sections</w:t>
      </w:r>
    </w:p>
    <w:p w14:paraId="75E4C22E" w14:textId="77777777" w:rsidR="00BB7633" w:rsidRPr="00447374" w:rsidRDefault="00DB1EAF" w:rsidP="00CA077F">
      <w:pPr>
        <w:numPr>
          <w:ilvl w:val="1"/>
          <w:numId w:val="2"/>
        </w:numPr>
      </w:pPr>
      <w:r w:rsidRPr="00447374">
        <w:t>Building Wire and Cable</w:t>
      </w:r>
    </w:p>
    <w:p w14:paraId="358B01FE" w14:textId="77777777" w:rsidR="00555FAE" w:rsidRDefault="00555FAE" w:rsidP="00555FAE">
      <w:pPr>
        <w:pStyle w:val="Heading2"/>
      </w:pPr>
      <w:r>
        <w:t xml:space="preserve">EQUIPMENT </w:t>
      </w:r>
      <w:r>
        <w:rPr>
          <w:caps w:val="0"/>
        </w:rPr>
        <w:t>and</w:t>
      </w:r>
      <w:r>
        <w:t xml:space="preserve"> PRODUCT REQUIREMENTS</w:t>
      </w:r>
    </w:p>
    <w:p w14:paraId="30D82FE3" w14:textId="77777777" w:rsidR="00555FAE" w:rsidRDefault="00555FAE" w:rsidP="00555FAE">
      <w:pPr>
        <w:numPr>
          <w:ilvl w:val="0"/>
          <w:numId w:val="3"/>
        </w:numPr>
        <w:spacing w:line="0" w:lineRule="atLeast"/>
        <w:rPr>
          <w:rFonts w:eastAsia="Arial"/>
        </w:rPr>
      </w:pPr>
      <w:r>
        <w:rPr>
          <w:rFonts w:eastAsia="Arial"/>
        </w:rPr>
        <w:t>Conduit:</w:t>
      </w:r>
    </w:p>
    <w:p w14:paraId="70B1DD4C" w14:textId="77777777" w:rsidR="00555FAE" w:rsidRDefault="00555FAE" w:rsidP="00555FAE">
      <w:pPr>
        <w:numPr>
          <w:ilvl w:val="1"/>
          <w:numId w:val="2"/>
        </w:numPr>
        <w:rPr>
          <w:rFonts w:eastAsia="Arial"/>
        </w:rPr>
      </w:pPr>
      <w:r>
        <w:rPr>
          <w:rFonts w:eastAsia="Arial"/>
        </w:rPr>
        <w:t xml:space="preserve">Size: In accordance with the NEC, but not less than 1/2-inch. </w:t>
      </w:r>
    </w:p>
    <w:p w14:paraId="72839189" w14:textId="77777777" w:rsidR="00555FAE" w:rsidRDefault="00555FAE" w:rsidP="00555FAE">
      <w:r>
        <w:t>Fittings:</w:t>
      </w:r>
    </w:p>
    <w:p w14:paraId="3C732862" w14:textId="77777777" w:rsidR="00555FAE" w:rsidRDefault="00555FAE" w:rsidP="00555FAE">
      <w:pPr>
        <w:numPr>
          <w:ilvl w:val="1"/>
          <w:numId w:val="2"/>
        </w:numPr>
      </w:pPr>
      <w:r>
        <w:t>EMT</w:t>
      </w:r>
      <w:r w:rsidR="00BD43B1">
        <w:t xml:space="preserve"> Fittings</w:t>
      </w:r>
      <w:r>
        <w:t>: S</w:t>
      </w:r>
      <w:r w:rsidRPr="00AE33CC">
        <w:t>teel set screw and compression fittings are</w:t>
      </w:r>
      <w:r w:rsidR="00BD43B1">
        <w:t xml:space="preserve"> acceptable</w:t>
      </w:r>
      <w:r w:rsidRPr="00AE33CC">
        <w:t>.</w:t>
      </w:r>
      <w:r>
        <w:t xml:space="preserve"> Where feasible, type of fittings shall be uniform throughout the project. </w:t>
      </w:r>
    </w:p>
    <w:p w14:paraId="28E11BEF" w14:textId="77777777" w:rsidR="00BD43B1" w:rsidRDefault="00BD43B1" w:rsidP="00555FAE">
      <w:pPr>
        <w:numPr>
          <w:ilvl w:val="1"/>
          <w:numId w:val="2"/>
        </w:numPr>
      </w:pPr>
      <w:r>
        <w:t xml:space="preserve">Rigid Steel and IMC Conduit Fittings: Threaded couplings, locknuts and bushings. </w:t>
      </w:r>
    </w:p>
    <w:p w14:paraId="5EF95B9E" w14:textId="77777777" w:rsidR="00BD43B1" w:rsidRDefault="00BD43B1" w:rsidP="00BD43B1">
      <w:pPr>
        <w:numPr>
          <w:ilvl w:val="1"/>
          <w:numId w:val="2"/>
        </w:numPr>
      </w:pPr>
      <w:r w:rsidRPr="00BD43B1">
        <w:t>Flexible Metal Conduit Fittings</w:t>
      </w:r>
      <w:r>
        <w:t xml:space="preserve">: </w:t>
      </w:r>
      <w:r w:rsidRPr="00BD43B1">
        <w:t>Clamp-type, with insulated throat.</w:t>
      </w:r>
    </w:p>
    <w:p w14:paraId="1F3C944B" w14:textId="77777777" w:rsidR="00BD43B1" w:rsidRDefault="00BD43B1" w:rsidP="00BD43B1">
      <w:pPr>
        <w:numPr>
          <w:ilvl w:val="1"/>
          <w:numId w:val="2"/>
        </w:numPr>
      </w:pPr>
      <w:r w:rsidRPr="00BD43B1">
        <w:t>Only steel materials are acceptable.</w:t>
      </w:r>
    </w:p>
    <w:p w14:paraId="7211B731" w14:textId="77777777" w:rsidR="00555FAE" w:rsidRDefault="00555FAE" w:rsidP="00555FAE">
      <w:pPr>
        <w:numPr>
          <w:ilvl w:val="1"/>
          <w:numId w:val="2"/>
        </w:numPr>
      </w:pPr>
      <w:r>
        <w:t>Die-cast fittings are NOT acceptable.</w:t>
      </w:r>
    </w:p>
    <w:p w14:paraId="2242AD99" w14:textId="161C4638" w:rsidR="008242C1" w:rsidRDefault="00B92FFF" w:rsidP="00B41AEA">
      <w:pPr>
        <w:pStyle w:val="Heading2"/>
      </w:pPr>
      <w:r w:rsidRPr="007F3B5F">
        <w:t>END OF SECTION</w:t>
      </w:r>
    </w:p>
    <w:p w14:paraId="55BE84D8" w14:textId="576472E5" w:rsidR="00B41AEA" w:rsidRDefault="00B41AEA">
      <w:pPr>
        <w:numPr>
          <w:ilvl w:val="0"/>
          <w:numId w:val="0"/>
        </w:numPr>
        <w:spacing w:before="0" w:after="0"/>
      </w:pPr>
    </w:p>
    <w:sectPr w:rsidR="00B41AEA" w:rsidSect="00756595">
      <w:headerReference w:type="default" r:id="rId8"/>
      <w:footerReference w:type="default" r:id="rId9"/>
      <w:pgSz w:w="12240" w:h="15840" w:code="1"/>
      <w:pgMar w:top="1440" w:right="1080" w:bottom="1440" w:left="1080" w:header="432" w:footer="720" w:gutter="0"/>
      <w:cols w:space="0" w:equalWidth="0">
        <w:col w:w="10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B9E59" w14:textId="77777777" w:rsidR="0094762A" w:rsidRDefault="0094762A" w:rsidP="0094762A">
      <w:pPr>
        <w:spacing w:before="0" w:after="0"/>
      </w:pPr>
      <w:r>
        <w:separator/>
      </w:r>
    </w:p>
  </w:endnote>
  <w:endnote w:type="continuationSeparator" w:id="0">
    <w:p w14:paraId="764C7EFD" w14:textId="77777777" w:rsidR="0094762A" w:rsidRDefault="0094762A" w:rsidP="009476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081A0" w14:textId="77777777" w:rsidR="0040115B" w:rsidRDefault="0040115B" w:rsidP="0040115B">
    <w:pPr>
      <w:numPr>
        <w:ilvl w:val="0"/>
        <w:numId w:val="0"/>
      </w:numPr>
      <w:ind w:left="1080"/>
    </w:pPr>
  </w:p>
  <w:tbl>
    <w:tblPr>
      <w:tblW w:w="0" w:type="auto"/>
      <w:tblLayout w:type="fixed"/>
      <w:tblCellMar>
        <w:left w:w="0" w:type="dxa"/>
        <w:right w:w="0" w:type="dxa"/>
      </w:tblCellMar>
      <w:tblLook w:val="0000" w:firstRow="0" w:lastRow="0" w:firstColumn="0" w:lastColumn="0" w:noHBand="0" w:noVBand="0"/>
    </w:tblPr>
    <w:tblGrid>
      <w:gridCol w:w="5440"/>
      <w:gridCol w:w="4640"/>
    </w:tblGrid>
    <w:tr w:rsidR="00B92FFF" w:rsidRPr="00B92FFF" w14:paraId="4A17B273" w14:textId="77777777" w:rsidTr="00B41AEA">
      <w:trPr>
        <w:trHeight w:val="236"/>
      </w:trPr>
      <w:tc>
        <w:tcPr>
          <w:tcW w:w="5440" w:type="dxa"/>
          <w:tcBorders>
            <w:bottom w:val="single" w:sz="8" w:space="0" w:color="auto"/>
          </w:tcBorders>
          <w:shd w:val="clear" w:color="auto" w:fill="auto"/>
          <w:vAlign w:val="bottom"/>
        </w:tcPr>
        <w:p w14:paraId="533151EB" w14:textId="0150F0CC" w:rsidR="00B92FFF" w:rsidRPr="0040115B" w:rsidRDefault="0040115B" w:rsidP="007F3B5F">
          <w:pPr>
            <w:numPr>
              <w:ilvl w:val="0"/>
              <w:numId w:val="0"/>
            </w:numPr>
            <w:spacing w:before="0" w:after="0" w:line="0" w:lineRule="atLeast"/>
            <w:rPr>
              <w:rFonts w:ascii="Times New Roman" w:eastAsia="Times New Roman" w:hAnsi="Times New Roman"/>
            </w:rPr>
          </w:pPr>
          <w:r w:rsidRPr="0040115B">
            <w:t>CONDUITS, FITTINGS AND BOXES</w:t>
          </w:r>
        </w:p>
      </w:tc>
      <w:tc>
        <w:tcPr>
          <w:tcW w:w="4640" w:type="dxa"/>
          <w:tcBorders>
            <w:bottom w:val="single" w:sz="8" w:space="0" w:color="auto"/>
          </w:tcBorders>
          <w:shd w:val="clear" w:color="auto" w:fill="auto"/>
          <w:vAlign w:val="bottom"/>
        </w:tcPr>
        <w:p w14:paraId="26208EEC" w14:textId="019272C9" w:rsidR="00B92FFF" w:rsidRPr="0040115B" w:rsidRDefault="00CC3F80" w:rsidP="007F3B5F">
          <w:pPr>
            <w:numPr>
              <w:ilvl w:val="0"/>
              <w:numId w:val="0"/>
            </w:numPr>
            <w:spacing w:before="0" w:after="0" w:line="0" w:lineRule="atLeast"/>
            <w:ind w:left="360"/>
            <w:jc w:val="right"/>
            <w:rPr>
              <w:rFonts w:eastAsia="Arial"/>
            </w:rPr>
          </w:pPr>
          <w:r>
            <w:rPr>
              <w:rFonts w:eastAsia="Arial"/>
            </w:rPr>
            <w:t>July 17, 2023</w:t>
          </w:r>
        </w:p>
      </w:tc>
    </w:tr>
    <w:tr w:rsidR="00B92FFF" w:rsidRPr="00B92FFF" w14:paraId="0B7EAE13" w14:textId="77777777" w:rsidTr="00B41AEA">
      <w:trPr>
        <w:trHeight w:val="234"/>
      </w:trPr>
      <w:tc>
        <w:tcPr>
          <w:tcW w:w="5440" w:type="dxa"/>
          <w:shd w:val="clear" w:color="auto" w:fill="auto"/>
          <w:vAlign w:val="bottom"/>
        </w:tcPr>
        <w:p w14:paraId="0A25C0E5" w14:textId="399F466A" w:rsidR="00B92FFF" w:rsidRPr="0040115B" w:rsidRDefault="00B92FFF" w:rsidP="009E2558">
          <w:pPr>
            <w:pStyle w:val="Heading1"/>
            <w:spacing w:before="0" w:after="0"/>
            <w:rPr>
              <w:b w:val="0"/>
            </w:rPr>
          </w:pPr>
        </w:p>
      </w:tc>
      <w:tc>
        <w:tcPr>
          <w:tcW w:w="4640" w:type="dxa"/>
          <w:shd w:val="clear" w:color="auto" w:fill="auto"/>
          <w:vAlign w:val="bottom"/>
        </w:tcPr>
        <w:p w14:paraId="6565BFDF" w14:textId="5B2B2EEB" w:rsidR="00B92FFF" w:rsidRPr="0040115B" w:rsidRDefault="009F0EEE" w:rsidP="00ED4EA2">
          <w:pPr>
            <w:numPr>
              <w:ilvl w:val="0"/>
              <w:numId w:val="0"/>
            </w:numPr>
            <w:spacing w:before="0" w:after="0" w:line="0" w:lineRule="atLeast"/>
            <w:ind w:left="360"/>
            <w:jc w:val="right"/>
            <w:rPr>
              <w:rFonts w:eastAsia="Arial"/>
            </w:rPr>
          </w:pPr>
          <w:r w:rsidRPr="0040115B">
            <w:rPr>
              <w:rFonts w:eastAsia="Arial"/>
            </w:rPr>
            <w:fldChar w:fldCharType="begin"/>
          </w:r>
          <w:r w:rsidRPr="0040115B">
            <w:rPr>
              <w:rFonts w:eastAsia="Arial"/>
            </w:rPr>
            <w:instrText xml:space="preserve"> PAGE   \* MERGEFORMAT </w:instrText>
          </w:r>
          <w:r w:rsidRPr="0040115B">
            <w:rPr>
              <w:rFonts w:eastAsia="Arial"/>
            </w:rPr>
            <w:fldChar w:fldCharType="separate"/>
          </w:r>
          <w:r w:rsidR="00CC3F80">
            <w:rPr>
              <w:rFonts w:eastAsia="Arial"/>
              <w:noProof/>
            </w:rPr>
            <w:t>1</w:t>
          </w:r>
          <w:r w:rsidRPr="0040115B">
            <w:rPr>
              <w:rFonts w:eastAsia="Arial"/>
              <w:noProof/>
            </w:rPr>
            <w:fldChar w:fldCharType="end"/>
          </w:r>
        </w:p>
      </w:tc>
    </w:tr>
  </w:tbl>
  <w:p w14:paraId="1CAC9DF7" w14:textId="77777777" w:rsidR="007F3B5F" w:rsidRPr="00B92FFF" w:rsidRDefault="007F3B5F" w:rsidP="00836776">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175CC" w14:textId="77777777" w:rsidR="0094762A" w:rsidRDefault="0094762A" w:rsidP="0094762A">
      <w:pPr>
        <w:spacing w:before="0" w:after="0"/>
      </w:pPr>
      <w:r>
        <w:separator/>
      </w:r>
    </w:p>
  </w:footnote>
  <w:footnote w:type="continuationSeparator" w:id="0">
    <w:p w14:paraId="66D17AB9" w14:textId="77777777" w:rsidR="0094762A" w:rsidRDefault="0094762A" w:rsidP="0094762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1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5224"/>
    </w:tblGrid>
    <w:tr w:rsidR="00B41AEA" w:rsidRPr="00B41AEA" w14:paraId="1F2C5820" w14:textId="77777777" w:rsidTr="00B41AEA">
      <w:trPr>
        <w:trHeight w:val="1260"/>
      </w:trPr>
      <w:tc>
        <w:tcPr>
          <w:tcW w:w="4946" w:type="dxa"/>
          <w:tcBorders>
            <w:top w:val="nil"/>
            <w:left w:val="nil"/>
            <w:bottom w:val="single" w:sz="4" w:space="0" w:color="auto"/>
            <w:right w:val="nil"/>
          </w:tcBorders>
          <w:hideMark/>
        </w:tcPr>
        <w:p w14:paraId="52505D6C" w14:textId="77777777" w:rsidR="00B41AEA" w:rsidRPr="00B41AEA" w:rsidRDefault="00B41AEA" w:rsidP="00B41AEA">
          <w:pPr>
            <w:numPr>
              <w:ilvl w:val="0"/>
              <w:numId w:val="0"/>
            </w:numPr>
            <w:tabs>
              <w:tab w:val="center" w:pos="4680"/>
              <w:tab w:val="right" w:pos="10080"/>
            </w:tabs>
            <w:spacing w:before="100" w:beforeAutospacing="1" w:after="0"/>
            <w:ind w:left="720"/>
            <w:rPr>
              <w:rFonts w:ascii="Calibri" w:hAnsi="Calibri"/>
            </w:rPr>
          </w:pPr>
          <w:r w:rsidRPr="00B41AEA">
            <w:rPr>
              <w:noProof/>
            </w:rPr>
            <w:drawing>
              <wp:anchor distT="0" distB="0" distL="114300" distR="114300" simplePos="0" relativeHeight="251658240" behindDoc="1" locked="0" layoutInCell="1" allowOverlap="1" wp14:anchorId="477C17F5" wp14:editId="3E6E684C">
                <wp:simplePos x="0" y="0"/>
                <wp:positionH relativeFrom="column">
                  <wp:posOffset>-60960</wp:posOffset>
                </wp:positionH>
                <wp:positionV relativeFrom="paragraph">
                  <wp:posOffset>3175</wp:posOffset>
                </wp:positionV>
                <wp:extent cx="1188720" cy="777240"/>
                <wp:effectExtent l="0" t="0" r="0" b="3810"/>
                <wp:wrapTight wrapText="bothSides">
                  <wp:wrapPolygon edited="0">
                    <wp:start x="0" y="0"/>
                    <wp:lineTo x="0" y="21176"/>
                    <wp:lineTo x="21115" y="21176"/>
                    <wp:lineTo x="21115" y="0"/>
                    <wp:lineTo x="0" y="0"/>
                  </wp:wrapPolygon>
                </wp:wrapTight>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8720" cy="7772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24" w:type="dxa"/>
          <w:tcBorders>
            <w:top w:val="nil"/>
            <w:left w:val="nil"/>
            <w:bottom w:val="single" w:sz="4" w:space="0" w:color="auto"/>
            <w:right w:val="nil"/>
          </w:tcBorders>
          <w:vAlign w:val="bottom"/>
          <w:hideMark/>
        </w:tcPr>
        <w:p w14:paraId="701CE28E" w14:textId="77777777" w:rsidR="00B41AEA" w:rsidRPr="00B41AEA" w:rsidRDefault="00B41AEA" w:rsidP="00B41AEA">
          <w:pPr>
            <w:numPr>
              <w:ilvl w:val="0"/>
              <w:numId w:val="0"/>
            </w:numPr>
            <w:tabs>
              <w:tab w:val="center" w:pos="4680"/>
              <w:tab w:val="left" w:pos="5116"/>
              <w:tab w:val="right" w:pos="9360"/>
            </w:tabs>
            <w:spacing w:before="0"/>
            <w:ind w:right="-108"/>
            <w:jc w:val="right"/>
          </w:pPr>
          <w:r w:rsidRPr="00B41AEA">
            <w:t>DESIGN STANDARDS</w:t>
          </w:r>
        </w:p>
      </w:tc>
    </w:tr>
  </w:tbl>
  <w:p w14:paraId="033D84E4" w14:textId="77777777" w:rsidR="00B41AEA" w:rsidRPr="00B41AEA" w:rsidRDefault="00B41AEA" w:rsidP="00756595">
    <w:pPr>
      <w:widowControl w:val="0"/>
      <w:numPr>
        <w:ilvl w:val="0"/>
        <w:numId w:val="0"/>
      </w:numPr>
      <w:suppressLineNumbers/>
      <w:spacing w:before="0" w:after="0"/>
      <w:ind w:left="720"/>
      <w:jc w:val="right"/>
      <w:rPr>
        <w:rFonts w:eastAsia="Arial"/>
        <w:sz w:val="22"/>
        <w:szCs w:val="22"/>
      </w:rPr>
    </w:pPr>
    <w:r w:rsidRPr="00B41AEA">
      <w:rPr>
        <w:rFonts w:eastAsia="Arial"/>
        <w:sz w:val="22"/>
        <w:szCs w:val="22"/>
      </w:rPr>
      <w:t>Washington University School of Medicine</w:t>
    </w:r>
  </w:p>
  <w:p w14:paraId="599C26C8" w14:textId="7267A971" w:rsidR="0094762A" w:rsidRPr="00B41AEA" w:rsidRDefault="0094762A" w:rsidP="00756595">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57A89"/>
    <w:multiLevelType w:val="hybridMultilevel"/>
    <w:tmpl w:val="4146AD22"/>
    <w:lvl w:ilvl="0" w:tplc="B0764580">
      <w:start w:val="1"/>
      <w:numFmt w:val="decimal"/>
      <w:pStyle w:val="Normal"/>
      <w:lvlText w:val="%1."/>
      <w:lvlJc w:val="left"/>
      <w:pPr>
        <w:ind w:left="1080" w:hanging="360"/>
      </w:pPr>
      <w:rPr>
        <w:rFonts w:ascii="Arial" w:hAnsi="Arial" w:cs="Arial" w:hint="default"/>
        <w:i w:val="0"/>
        <w:sz w:val="20"/>
        <w:szCs w:val="20"/>
      </w:rPr>
    </w:lvl>
    <w:lvl w:ilvl="1" w:tplc="F5AA089C">
      <w:start w:val="1"/>
      <w:numFmt w:val="lowerLetter"/>
      <w:lvlText w:val="%2."/>
      <w:lvlJc w:val="left"/>
      <w:pPr>
        <w:ind w:left="1800" w:hanging="360"/>
      </w:pPr>
      <w:rPr>
        <w:rFonts w:ascii="Arial" w:hAnsi="Arial" w:cs="Arial" w:hint="default"/>
        <w:sz w:val="20"/>
        <w:szCs w:val="20"/>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920293"/>
    <w:multiLevelType w:val="hybridMultilevel"/>
    <w:tmpl w:val="67B88B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964112"/>
    <w:multiLevelType w:val="hybridMultilevel"/>
    <w:tmpl w:val="CA326460"/>
    <w:lvl w:ilvl="0" w:tplc="04090017">
      <w:start w:val="1"/>
      <w:numFmt w:val="lowerLetter"/>
      <w:lvlText w:val="%1)"/>
      <w:lvlJc w:val="left"/>
      <w:pPr>
        <w:tabs>
          <w:tab w:val="num" w:pos="720"/>
        </w:tabs>
        <w:ind w:left="720" w:hanging="360"/>
      </w:pPr>
      <w:rPr>
        <w:rFonts w:hint="default"/>
      </w:rPr>
    </w:lvl>
    <w:lvl w:ilvl="1" w:tplc="48E019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F774DD"/>
    <w:multiLevelType w:val="hybridMultilevel"/>
    <w:tmpl w:val="0E56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lvlOverride w:ilvl="0">
      <w:startOverride w:val="1"/>
    </w:lvlOverride>
  </w:num>
  <w:num w:numId="4">
    <w:abstractNumId w:val="0"/>
    <w:lvlOverride w:ilvl="0">
      <w:startOverride w:val="1"/>
    </w:lvlOverride>
  </w:num>
  <w:num w:numId="5">
    <w:abstractNumId w:val="0"/>
  </w:num>
  <w:num w:numId="6">
    <w:abstractNumId w:val="0"/>
    <w:lvlOverride w:ilvl="0">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bY0MTAyB9KmBuaWpko6SsGpxcWZ+XkgBca1ANQZZ7ksAAAA"/>
  </w:docVars>
  <w:rsids>
    <w:rsidRoot w:val="00E946F8"/>
    <w:rsid w:val="00046B07"/>
    <w:rsid w:val="000A2809"/>
    <w:rsid w:val="00155888"/>
    <w:rsid w:val="001622C0"/>
    <w:rsid w:val="00195FD2"/>
    <w:rsid w:val="001C0EF7"/>
    <w:rsid w:val="00201436"/>
    <w:rsid w:val="00205B7C"/>
    <w:rsid w:val="002331AC"/>
    <w:rsid w:val="00261E14"/>
    <w:rsid w:val="00295BBE"/>
    <w:rsid w:val="002D4488"/>
    <w:rsid w:val="002E2035"/>
    <w:rsid w:val="002E6C7F"/>
    <w:rsid w:val="0031065D"/>
    <w:rsid w:val="003128E8"/>
    <w:rsid w:val="003359ED"/>
    <w:rsid w:val="003764AD"/>
    <w:rsid w:val="003B298A"/>
    <w:rsid w:val="003B4609"/>
    <w:rsid w:val="003B62C7"/>
    <w:rsid w:val="0040115B"/>
    <w:rsid w:val="00441050"/>
    <w:rsid w:val="004444D6"/>
    <w:rsid w:val="00447374"/>
    <w:rsid w:val="004A2F58"/>
    <w:rsid w:val="004A4232"/>
    <w:rsid w:val="004B5F3C"/>
    <w:rsid w:val="00510059"/>
    <w:rsid w:val="005116BB"/>
    <w:rsid w:val="00515519"/>
    <w:rsid w:val="0052441C"/>
    <w:rsid w:val="005517FC"/>
    <w:rsid w:val="00555FAE"/>
    <w:rsid w:val="00580C59"/>
    <w:rsid w:val="00594122"/>
    <w:rsid w:val="005D5890"/>
    <w:rsid w:val="005E3EAD"/>
    <w:rsid w:val="0064277F"/>
    <w:rsid w:val="006538C7"/>
    <w:rsid w:val="006564F9"/>
    <w:rsid w:val="006B1C83"/>
    <w:rsid w:val="006D0607"/>
    <w:rsid w:val="006D2058"/>
    <w:rsid w:val="006F64C5"/>
    <w:rsid w:val="007333AF"/>
    <w:rsid w:val="00756595"/>
    <w:rsid w:val="007761C2"/>
    <w:rsid w:val="007B2CC8"/>
    <w:rsid w:val="007B4ACA"/>
    <w:rsid w:val="007F3B5F"/>
    <w:rsid w:val="0080558A"/>
    <w:rsid w:val="0081235D"/>
    <w:rsid w:val="00816490"/>
    <w:rsid w:val="00823AF7"/>
    <w:rsid w:val="008242C1"/>
    <w:rsid w:val="00836776"/>
    <w:rsid w:val="0086515F"/>
    <w:rsid w:val="00866A75"/>
    <w:rsid w:val="008812D2"/>
    <w:rsid w:val="008B255F"/>
    <w:rsid w:val="0090496D"/>
    <w:rsid w:val="00904CA9"/>
    <w:rsid w:val="00926526"/>
    <w:rsid w:val="0094048B"/>
    <w:rsid w:val="0094762A"/>
    <w:rsid w:val="00970D7B"/>
    <w:rsid w:val="00984FF7"/>
    <w:rsid w:val="009A7A7D"/>
    <w:rsid w:val="009B754D"/>
    <w:rsid w:val="009E2558"/>
    <w:rsid w:val="009F0EEE"/>
    <w:rsid w:val="00A33959"/>
    <w:rsid w:val="00A520ED"/>
    <w:rsid w:val="00A630FC"/>
    <w:rsid w:val="00A77345"/>
    <w:rsid w:val="00A8146D"/>
    <w:rsid w:val="00AD6C22"/>
    <w:rsid w:val="00AE0D97"/>
    <w:rsid w:val="00AE33CC"/>
    <w:rsid w:val="00B02670"/>
    <w:rsid w:val="00B14F29"/>
    <w:rsid w:val="00B15E6C"/>
    <w:rsid w:val="00B27F73"/>
    <w:rsid w:val="00B40E1A"/>
    <w:rsid w:val="00B41AEA"/>
    <w:rsid w:val="00B77589"/>
    <w:rsid w:val="00B92FFF"/>
    <w:rsid w:val="00BB0E43"/>
    <w:rsid w:val="00BB7633"/>
    <w:rsid w:val="00BD43B1"/>
    <w:rsid w:val="00BD69F9"/>
    <w:rsid w:val="00BE7C25"/>
    <w:rsid w:val="00C0288D"/>
    <w:rsid w:val="00C10897"/>
    <w:rsid w:val="00C15ED7"/>
    <w:rsid w:val="00C3763E"/>
    <w:rsid w:val="00C41EDA"/>
    <w:rsid w:val="00CA077F"/>
    <w:rsid w:val="00CA629C"/>
    <w:rsid w:val="00CB5E2C"/>
    <w:rsid w:val="00CB67FD"/>
    <w:rsid w:val="00CB7FCC"/>
    <w:rsid w:val="00CC3F80"/>
    <w:rsid w:val="00CE6486"/>
    <w:rsid w:val="00D34721"/>
    <w:rsid w:val="00D82DCA"/>
    <w:rsid w:val="00DB1EAF"/>
    <w:rsid w:val="00DC63D8"/>
    <w:rsid w:val="00DF7E4A"/>
    <w:rsid w:val="00E0794C"/>
    <w:rsid w:val="00E1391D"/>
    <w:rsid w:val="00E749DA"/>
    <w:rsid w:val="00E946F8"/>
    <w:rsid w:val="00EC4EF4"/>
    <w:rsid w:val="00EC5C62"/>
    <w:rsid w:val="00ED4EA2"/>
    <w:rsid w:val="00F0149D"/>
    <w:rsid w:val="00F04AC6"/>
    <w:rsid w:val="00F20092"/>
    <w:rsid w:val="00F37588"/>
    <w:rsid w:val="00F653B4"/>
    <w:rsid w:val="00FB3BCA"/>
    <w:rsid w:val="00FD4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B840F82"/>
  <w15:docId w15:val="{4120BB93-C012-4F0F-9B6C-9BC509F8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B5F"/>
    <w:pPr>
      <w:numPr>
        <w:numId w:val="5"/>
      </w:numPr>
      <w:spacing w:before="120" w:after="120"/>
    </w:pPr>
    <w:rPr>
      <w:rFonts w:ascii="Arial" w:hAnsi="Arial"/>
    </w:rPr>
  </w:style>
  <w:style w:type="paragraph" w:styleId="Heading1">
    <w:name w:val="heading 1"/>
    <w:next w:val="Normal"/>
    <w:link w:val="Heading1Char"/>
    <w:uiPriority w:val="9"/>
    <w:qFormat/>
    <w:rsid w:val="00B92FFF"/>
    <w:pPr>
      <w:spacing w:before="360" w:after="240"/>
      <w:outlineLvl w:val="0"/>
    </w:pPr>
    <w:rPr>
      <w:rFonts w:ascii="Arial" w:eastAsia="Arial" w:hAnsi="Arial"/>
      <w:b/>
      <w:caps/>
    </w:rPr>
  </w:style>
  <w:style w:type="paragraph" w:styleId="Heading2">
    <w:name w:val="heading 2"/>
    <w:basedOn w:val="Normal"/>
    <w:next w:val="Normal"/>
    <w:link w:val="Heading2Char"/>
    <w:uiPriority w:val="9"/>
    <w:unhideWhenUsed/>
    <w:qFormat/>
    <w:rsid w:val="007F3B5F"/>
    <w:pPr>
      <w:numPr>
        <w:numId w:val="0"/>
      </w:numPr>
      <w:spacing w:before="240" w:after="240" w:line="0" w:lineRule="atLeast"/>
      <w:outlineLvl w:val="1"/>
    </w:pPr>
    <w:rPr>
      <w:rFonts w:eastAsia="Arial"/>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94762A"/>
    <w:pPr>
      <w:spacing w:line="0" w:lineRule="atLeast"/>
      <w:ind w:left="6696"/>
    </w:pPr>
    <w:rPr>
      <w:rFonts w:ascii="Arial" w:eastAsia="Arial" w:hAnsi="Arial"/>
      <w:b/>
      <w:sz w:val="24"/>
    </w:rPr>
  </w:style>
  <w:style w:type="character" w:customStyle="1" w:styleId="TitleChar">
    <w:name w:val="Title Char"/>
    <w:basedOn w:val="DefaultParagraphFont"/>
    <w:link w:val="Title"/>
    <w:uiPriority w:val="10"/>
    <w:rsid w:val="0094762A"/>
    <w:rPr>
      <w:rFonts w:ascii="Arial" w:eastAsia="Arial" w:hAnsi="Arial"/>
      <w:b/>
      <w:sz w:val="24"/>
    </w:rPr>
  </w:style>
  <w:style w:type="character" w:customStyle="1" w:styleId="Heading2Char">
    <w:name w:val="Heading 2 Char"/>
    <w:basedOn w:val="DefaultParagraphFont"/>
    <w:link w:val="Heading2"/>
    <w:uiPriority w:val="9"/>
    <w:rsid w:val="007F3B5F"/>
    <w:rPr>
      <w:rFonts w:ascii="Arial" w:eastAsia="Arial" w:hAnsi="Arial"/>
      <w:caps/>
    </w:rPr>
  </w:style>
  <w:style w:type="character" w:customStyle="1" w:styleId="Heading1Char">
    <w:name w:val="Heading 1 Char"/>
    <w:basedOn w:val="DefaultParagraphFont"/>
    <w:link w:val="Heading1"/>
    <w:uiPriority w:val="9"/>
    <w:rsid w:val="00B92FFF"/>
    <w:rPr>
      <w:rFonts w:ascii="Arial" w:eastAsia="Arial" w:hAnsi="Arial"/>
      <w:b/>
      <w:caps/>
    </w:rPr>
  </w:style>
  <w:style w:type="paragraph" w:styleId="Subtitle">
    <w:name w:val="Subtitle"/>
    <w:next w:val="Normal"/>
    <w:link w:val="SubtitleChar"/>
    <w:uiPriority w:val="11"/>
    <w:qFormat/>
    <w:rsid w:val="0094762A"/>
    <w:pPr>
      <w:spacing w:before="60" w:line="0" w:lineRule="atLeast"/>
      <w:ind w:left="4306"/>
    </w:pPr>
    <w:rPr>
      <w:rFonts w:ascii="Arial" w:eastAsia="Arial" w:hAnsi="Arial"/>
    </w:rPr>
  </w:style>
  <w:style w:type="character" w:customStyle="1" w:styleId="SubtitleChar">
    <w:name w:val="Subtitle Char"/>
    <w:basedOn w:val="DefaultParagraphFont"/>
    <w:link w:val="Subtitle"/>
    <w:uiPriority w:val="11"/>
    <w:rsid w:val="0094762A"/>
    <w:rPr>
      <w:rFonts w:ascii="Arial" w:eastAsia="Arial" w:hAnsi="Arial"/>
    </w:rPr>
  </w:style>
  <w:style w:type="paragraph" w:styleId="Header">
    <w:name w:val="header"/>
    <w:basedOn w:val="Normal"/>
    <w:link w:val="HeaderChar"/>
    <w:uiPriority w:val="99"/>
    <w:unhideWhenUsed/>
    <w:rsid w:val="0094762A"/>
    <w:pPr>
      <w:tabs>
        <w:tab w:val="center" w:pos="4680"/>
        <w:tab w:val="right" w:pos="9360"/>
      </w:tabs>
      <w:spacing w:before="0" w:after="0"/>
    </w:pPr>
  </w:style>
  <w:style w:type="character" w:customStyle="1" w:styleId="HeaderChar">
    <w:name w:val="Header Char"/>
    <w:basedOn w:val="DefaultParagraphFont"/>
    <w:link w:val="Header"/>
    <w:uiPriority w:val="99"/>
    <w:rsid w:val="0094762A"/>
  </w:style>
  <w:style w:type="paragraph" w:styleId="Footer">
    <w:name w:val="footer"/>
    <w:basedOn w:val="Normal"/>
    <w:link w:val="FooterChar"/>
    <w:uiPriority w:val="99"/>
    <w:unhideWhenUsed/>
    <w:rsid w:val="0094762A"/>
    <w:pPr>
      <w:tabs>
        <w:tab w:val="center" w:pos="4680"/>
        <w:tab w:val="right" w:pos="9360"/>
      </w:tabs>
      <w:spacing w:before="0" w:after="0"/>
    </w:pPr>
  </w:style>
  <w:style w:type="character" w:customStyle="1" w:styleId="FooterChar">
    <w:name w:val="Footer Char"/>
    <w:basedOn w:val="DefaultParagraphFont"/>
    <w:link w:val="Footer"/>
    <w:uiPriority w:val="99"/>
    <w:rsid w:val="0094762A"/>
  </w:style>
  <w:style w:type="paragraph" w:styleId="ListParagraph">
    <w:name w:val="List Paragraph"/>
    <w:basedOn w:val="Normal"/>
    <w:uiPriority w:val="34"/>
    <w:qFormat/>
    <w:rsid w:val="00B92FFF"/>
    <w:pPr>
      <w:contextualSpacing/>
    </w:pPr>
  </w:style>
  <w:style w:type="character" w:styleId="PlaceholderText">
    <w:name w:val="Placeholder Text"/>
    <w:basedOn w:val="DefaultParagraphFont"/>
    <w:uiPriority w:val="99"/>
    <w:semiHidden/>
    <w:rsid w:val="00B41AEA"/>
    <w:rPr>
      <w:color w:val="808080"/>
    </w:rPr>
  </w:style>
  <w:style w:type="table" w:styleId="TableGrid">
    <w:name w:val="Table Grid"/>
    <w:basedOn w:val="TableNormal"/>
    <w:uiPriority w:val="59"/>
    <w:rsid w:val="00B41AEA"/>
    <w:rPr>
      <w:rFonts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2811">
      <w:bodyDiv w:val="1"/>
      <w:marLeft w:val="0"/>
      <w:marRight w:val="0"/>
      <w:marTop w:val="0"/>
      <w:marBottom w:val="0"/>
      <w:divBdr>
        <w:top w:val="none" w:sz="0" w:space="0" w:color="auto"/>
        <w:left w:val="none" w:sz="0" w:space="0" w:color="auto"/>
        <w:bottom w:val="none" w:sz="0" w:space="0" w:color="auto"/>
        <w:right w:val="none" w:sz="0" w:space="0" w:color="auto"/>
      </w:divBdr>
    </w:div>
    <w:div w:id="19439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22DE4-E274-455E-9287-BC7F9284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SSC Engineering Inc.</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Meyer</dc:creator>
  <cp:keywords/>
  <cp:lastModifiedBy>Sagehorn, Dee</cp:lastModifiedBy>
  <cp:revision>3</cp:revision>
  <cp:lastPrinted>2017-11-29T16:33:00Z</cp:lastPrinted>
  <dcterms:created xsi:type="dcterms:W3CDTF">2023-07-17T13:16:00Z</dcterms:created>
  <dcterms:modified xsi:type="dcterms:W3CDTF">2023-07-17T14:17:00Z</dcterms:modified>
</cp:coreProperties>
</file>