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DFAE0BC" w14:textId="2CED10A8" w:rsidR="008242C1" w:rsidRPr="00E1391D" w:rsidRDefault="007B7A4F" w:rsidP="002D2149">
      <w:pPr>
        <w:pStyle w:val="Heading1"/>
        <w:spacing w:before="0"/>
      </w:pPr>
      <w:r>
        <w:t>fire alarm systems</w:t>
      </w:r>
    </w:p>
    <w:p w14:paraId="0C8C525C" w14:textId="77777777" w:rsidR="008242C1" w:rsidRDefault="00E1391D" w:rsidP="00E1391D">
      <w:pPr>
        <w:pStyle w:val="Heading2"/>
      </w:pPr>
      <w:r w:rsidRPr="00E1391D">
        <w:t>DESIGN</w:t>
      </w:r>
      <w:r>
        <w:t xml:space="preserve"> </w:t>
      </w:r>
      <w:r w:rsidR="003B4609">
        <w:t>GUIDELINES</w:t>
      </w:r>
    </w:p>
    <w:p w14:paraId="02CD5150" w14:textId="7CE4562E" w:rsidR="006C4160" w:rsidRDefault="006C4160" w:rsidP="006C4160">
      <w:r>
        <w:t>Summary:</w:t>
      </w:r>
    </w:p>
    <w:p w14:paraId="308D308B" w14:textId="1767AC5F" w:rsidR="00C84FA7" w:rsidRDefault="006C4160" w:rsidP="00C84FA7">
      <w:pPr>
        <w:numPr>
          <w:ilvl w:val="1"/>
          <w:numId w:val="2"/>
        </w:numPr>
      </w:pPr>
      <w:r>
        <w:t>This section provides guide</w:t>
      </w:r>
      <w:r w:rsidR="002A6E49">
        <w:t xml:space="preserve">lines and standards for </w:t>
      </w:r>
      <w:r w:rsidR="007B7A4F">
        <w:t>Fire Alarm</w:t>
      </w:r>
      <w:r w:rsidR="000E6BDF">
        <w:t xml:space="preserve"> System</w:t>
      </w:r>
      <w:r w:rsidR="007B7A4F">
        <w:t>s</w:t>
      </w:r>
      <w:r>
        <w:t xml:space="preserve">. </w:t>
      </w:r>
    </w:p>
    <w:p w14:paraId="4D233ED3" w14:textId="77777777" w:rsidR="00C84FA7" w:rsidRDefault="00C84FA7" w:rsidP="00C84FA7">
      <w:r>
        <w:t>Design:</w:t>
      </w:r>
    </w:p>
    <w:p w14:paraId="340E0203" w14:textId="32E78DAA" w:rsidR="00F73F61" w:rsidRDefault="00F73F61" w:rsidP="00513402">
      <w:pPr>
        <w:numPr>
          <w:ilvl w:val="1"/>
          <w:numId w:val="2"/>
        </w:numPr>
      </w:pPr>
      <w:r w:rsidRPr="00F73F61">
        <w:t xml:space="preserve">Fire alarm design shall be full </w:t>
      </w:r>
      <w:r>
        <w:t xml:space="preserve">design build. </w:t>
      </w:r>
      <w:r w:rsidRPr="00F73F61">
        <w:t>The fire alarm contractor shall provide signed and sealed fire ala</w:t>
      </w:r>
      <w:r>
        <w:t xml:space="preserve">rm drawings, wiring </w:t>
      </w:r>
      <w:r w:rsidRPr="00F73F61">
        <w:t>diagrams, battery calcs, voltage drop calcs, etc.</w:t>
      </w:r>
      <w:r>
        <w:t xml:space="preserve"> </w:t>
      </w:r>
    </w:p>
    <w:p w14:paraId="77554988" w14:textId="187003EF" w:rsidR="00513402" w:rsidRDefault="00B95F7D" w:rsidP="00513402">
      <w:pPr>
        <w:numPr>
          <w:ilvl w:val="1"/>
          <w:numId w:val="2"/>
        </w:numPr>
      </w:pPr>
      <w:r>
        <w:t xml:space="preserve">The </w:t>
      </w:r>
      <w:r w:rsidR="00513402">
        <w:t>providers are Notifier (Tech. Elec.), and Siemens.</w:t>
      </w:r>
    </w:p>
    <w:p w14:paraId="1DF2D42E" w14:textId="77777777" w:rsidR="00513402" w:rsidRDefault="00513402" w:rsidP="00513402">
      <w:pPr>
        <w:numPr>
          <w:ilvl w:val="1"/>
          <w:numId w:val="2"/>
        </w:numPr>
      </w:pPr>
      <w:r>
        <w:t>The fire alarm system shall be addressable.</w:t>
      </w:r>
    </w:p>
    <w:p w14:paraId="07C2A03D" w14:textId="298573F9" w:rsidR="00513402" w:rsidRDefault="00F73F61" w:rsidP="00513402">
      <w:pPr>
        <w:numPr>
          <w:ilvl w:val="1"/>
          <w:numId w:val="2"/>
        </w:numPr>
      </w:pPr>
      <w:r>
        <w:t>Photo</w:t>
      </w:r>
      <w:r w:rsidR="00513402">
        <w:t xml:space="preserve"> sensors shall be used for general open area protection.  Smoke detectors are not to be used in autoclave areas. Use Ionization type for special applications only.</w:t>
      </w:r>
    </w:p>
    <w:p w14:paraId="5089E820" w14:textId="77777777" w:rsidR="00513402" w:rsidRDefault="00513402" w:rsidP="00513402">
      <w:pPr>
        <w:numPr>
          <w:ilvl w:val="1"/>
          <w:numId w:val="2"/>
        </w:numPr>
      </w:pPr>
      <w:r>
        <w:t>Duct detectors shall be photoelectric type, located upstream of humidifiers.</w:t>
      </w:r>
    </w:p>
    <w:p w14:paraId="559AF4A8" w14:textId="77777777" w:rsidR="00513402" w:rsidRDefault="00513402" w:rsidP="00513402">
      <w:pPr>
        <w:numPr>
          <w:ilvl w:val="1"/>
          <w:numId w:val="2"/>
        </w:numPr>
      </w:pPr>
      <w:r>
        <w:t>Elevators need speaker and shielded traveling cable if voice system is used or required.</w:t>
      </w:r>
    </w:p>
    <w:p w14:paraId="34A8B37D" w14:textId="77777777" w:rsidR="00513402" w:rsidRDefault="00513402" w:rsidP="00513402">
      <w:pPr>
        <w:numPr>
          <w:ilvl w:val="1"/>
          <w:numId w:val="2"/>
        </w:numPr>
      </w:pPr>
      <w:r>
        <w:t>Strobes and speakers must be suitable for the environment (i.e., wet and cold areas).</w:t>
      </w:r>
    </w:p>
    <w:p w14:paraId="46FA8FD0" w14:textId="77777777" w:rsidR="00513402" w:rsidRDefault="00513402" w:rsidP="00513402">
      <w:pPr>
        <w:numPr>
          <w:ilvl w:val="1"/>
          <w:numId w:val="2"/>
        </w:numPr>
      </w:pPr>
      <w:r>
        <w:t>Fireman’s telephone jack must have insulating sleeve to prevent grounds.</w:t>
      </w:r>
    </w:p>
    <w:p w14:paraId="156BEA65" w14:textId="77777777" w:rsidR="00513402" w:rsidRDefault="00513402" w:rsidP="00513402">
      <w:pPr>
        <w:numPr>
          <w:ilvl w:val="1"/>
          <w:numId w:val="2"/>
        </w:numPr>
      </w:pPr>
      <w:r>
        <w:t>Telephone in elevator shall be ADA - Rath Microtech type, linked to outside monitoring.</w:t>
      </w:r>
    </w:p>
    <w:p w14:paraId="680BD146" w14:textId="6DBD5098" w:rsidR="00513402" w:rsidRDefault="00513402" w:rsidP="00513402">
      <w:pPr>
        <w:numPr>
          <w:ilvl w:val="1"/>
          <w:numId w:val="2"/>
        </w:numPr>
      </w:pPr>
      <w:r>
        <w:t xml:space="preserve">Fire Alarm Control Panel (FACP) to have owner specified bypass function.  FACP reports to the central facility in the North Building basement over hard wired copper, fiber or </w:t>
      </w:r>
      <w:r w:rsidR="000318E5">
        <w:t>to central station monitoring via IP/Cellular at owner’s direction</w:t>
      </w:r>
      <w:r>
        <w:t>.</w:t>
      </w:r>
    </w:p>
    <w:p w14:paraId="28684731" w14:textId="549DDA9C" w:rsidR="00513402" w:rsidRDefault="00513402" w:rsidP="00513402">
      <w:pPr>
        <w:numPr>
          <w:ilvl w:val="1"/>
          <w:numId w:val="2"/>
        </w:numPr>
      </w:pPr>
      <w:r>
        <w:t xml:space="preserve">Fire alarm combination speaker/strobes, individual speakers and strobes shall be used </w:t>
      </w:r>
      <w:r w:rsidR="00B95F7D">
        <w:t>for all buildings</w:t>
      </w:r>
      <w:r>
        <w:t>.</w:t>
      </w:r>
    </w:p>
    <w:p w14:paraId="616B707D" w14:textId="662655B0" w:rsidR="00F73F61" w:rsidRDefault="00F73F61" w:rsidP="00F73F61">
      <w:pPr>
        <w:numPr>
          <w:ilvl w:val="1"/>
          <w:numId w:val="2"/>
        </w:numPr>
      </w:pPr>
      <w:r w:rsidRPr="00023E02">
        <w:t>Fire alarm circuits: Power limited fire protective signaling circuit cable. Where staged evacuation is used, the riser cable and horizontal cable to next zone shall be CIC (Circuit Integrity in Conduit) cable.</w:t>
      </w:r>
    </w:p>
    <w:p w14:paraId="1F4E39CA" w14:textId="1F935A44" w:rsidR="00513402" w:rsidRDefault="00513402" w:rsidP="00513402">
      <w:pPr>
        <w:numPr>
          <w:ilvl w:val="1"/>
          <w:numId w:val="2"/>
        </w:numPr>
      </w:pPr>
      <w:r>
        <w:t xml:space="preserve">Fire alarm wiring shall be in conduit when located </w:t>
      </w:r>
      <w:r w:rsidR="00F73F61">
        <w:t xml:space="preserve">exposed, such as </w:t>
      </w:r>
      <w:r>
        <w:t>in mechanical rooms</w:t>
      </w:r>
      <w:r w:rsidR="00F73F61">
        <w:t xml:space="preserve"> or rooms without ceiling as well as </w:t>
      </w:r>
      <w:r>
        <w:t>above hard ceilings.</w:t>
      </w:r>
      <w:r w:rsidR="000318E5">
        <w:t xml:space="preserve"> Flexible metal conduit may be used where it is infeasible to install </w:t>
      </w:r>
      <w:r w:rsidR="003C2391">
        <w:t>hard</w:t>
      </w:r>
      <w:r w:rsidR="000318E5">
        <w:t xml:space="preserve"> conduit. </w:t>
      </w:r>
    </w:p>
    <w:p w14:paraId="170BB0DC" w14:textId="0C0E921E" w:rsidR="00513402" w:rsidRDefault="00513402" w:rsidP="00513402">
      <w:pPr>
        <w:numPr>
          <w:ilvl w:val="1"/>
          <w:numId w:val="2"/>
        </w:numPr>
      </w:pPr>
      <w:r>
        <w:t xml:space="preserve">Fire alarm wiring above lay-in ceilings to be routed through support rings </w:t>
      </w:r>
      <w:r w:rsidR="00F73F61">
        <w:t xml:space="preserve">(or J-hooks) </w:t>
      </w:r>
      <w:r>
        <w:t>dedicated for fire alarm wiring.</w:t>
      </w:r>
    </w:p>
    <w:p w14:paraId="368C9D6C" w14:textId="72FA9487" w:rsidR="00513402" w:rsidRDefault="00513402" w:rsidP="00513402">
      <w:pPr>
        <w:numPr>
          <w:ilvl w:val="1"/>
          <w:numId w:val="2"/>
        </w:numPr>
      </w:pPr>
      <w:r>
        <w:t>All fire alarm wiring shall be plenum rated, red in color. Used in all areas except where CIC or other special type cable is required.</w:t>
      </w:r>
      <w:r w:rsidR="003C2391">
        <w:t xml:space="preserve"> CIC cable shall not be terminated directly to fire alarm panel terminals. </w:t>
      </w:r>
    </w:p>
    <w:p w14:paraId="4B80063C" w14:textId="21ED6D4D" w:rsidR="00513402" w:rsidRDefault="00513402" w:rsidP="00513402">
      <w:pPr>
        <w:numPr>
          <w:ilvl w:val="1"/>
          <w:numId w:val="2"/>
        </w:numPr>
      </w:pPr>
      <w:r>
        <w:t>Fire Alarm Syst</w:t>
      </w:r>
      <w:r w:rsidR="003C2391">
        <w:t xml:space="preserve">em shall be designed per ADA and </w:t>
      </w:r>
      <w:r>
        <w:t>NFPA 72. Use the stricter requirements of either.</w:t>
      </w:r>
    </w:p>
    <w:p w14:paraId="097C0903" w14:textId="444EE5C5" w:rsidR="00513402" w:rsidRDefault="00F73F61" w:rsidP="00513402">
      <w:pPr>
        <w:numPr>
          <w:ilvl w:val="1"/>
          <w:numId w:val="2"/>
        </w:numPr>
      </w:pPr>
      <w:r>
        <w:t>Wall-mount or ceiling mount devices are acceptable. Wall-mounted f</w:t>
      </w:r>
      <w:r w:rsidR="00513402">
        <w:t xml:space="preserve">ire alarm speaker and strobes or combinations </w:t>
      </w:r>
      <w:r>
        <w:t>to</w:t>
      </w:r>
      <w:r w:rsidR="00513402">
        <w:t xml:space="preserve"> be mounted 80” above finished floor to center unless otherwise noted. </w:t>
      </w:r>
      <w:r w:rsidR="003C2391">
        <w:t xml:space="preserve">When ceiling heights exceed 9’-0”, consult with owner for approval for installation of ceiling devices. </w:t>
      </w:r>
      <w:r w:rsidR="00513402">
        <w:t>Engineer to determine locations that require a ceiling mounted device.</w:t>
      </w:r>
    </w:p>
    <w:p w14:paraId="76726A10" w14:textId="77777777" w:rsidR="00513402" w:rsidRDefault="00513402" w:rsidP="00513402">
      <w:pPr>
        <w:numPr>
          <w:ilvl w:val="1"/>
          <w:numId w:val="2"/>
        </w:numPr>
      </w:pPr>
      <w:r>
        <w:lastRenderedPageBreak/>
        <w:t>All new fire alarm systems shall have an Alertus mass notification system installed to communicate emergency messages to the building occupants via the fire alarm speaker system. Program the fire alarm system such that a fire alarm takes precedence over the Alertus messaging.</w:t>
      </w:r>
    </w:p>
    <w:p w14:paraId="3902991D" w14:textId="2E88BB75" w:rsidR="00513402" w:rsidRDefault="00513402" w:rsidP="00F73F61">
      <w:pPr>
        <w:numPr>
          <w:ilvl w:val="1"/>
          <w:numId w:val="2"/>
        </w:numPr>
      </w:pPr>
      <w:r>
        <w:t>A remodel or expansion of an existing building that affects the fire alarm system shall take into consideration the Alertus mass notification intelligible coverage.</w:t>
      </w:r>
    </w:p>
    <w:p w14:paraId="47C3C8E8" w14:textId="77777777" w:rsidR="00513402" w:rsidRDefault="00513402" w:rsidP="00513402">
      <w:pPr>
        <w:numPr>
          <w:ilvl w:val="1"/>
          <w:numId w:val="2"/>
        </w:numPr>
      </w:pPr>
      <w:r>
        <w:t>Fire Alarm Installations:</w:t>
      </w:r>
    </w:p>
    <w:p w14:paraId="3CFF5961" w14:textId="67153F7B" w:rsidR="00513402" w:rsidRDefault="00162C5D" w:rsidP="00513402">
      <w:pPr>
        <w:numPr>
          <w:ilvl w:val="2"/>
          <w:numId w:val="2"/>
        </w:numPr>
        <w:ind w:left="1980"/>
      </w:pPr>
      <w:r>
        <w:t xml:space="preserve">Riser shall be 1 – ½ inch rigid conduit minimum. In all systems using circuit integrity cable, risers shall be sized starting with 2 ½ inch rigid conduit and increased in size as needed so conduit fill shall not exceed 40%.  Riser boxes shall be a minimum of 12”x12” Hoffman type boxes, but in all cases sized to allow the necessary terminal strips and workman like wiring in them. Owner requires Square D Company modular terminal strips in riser boxes (alternates may be submitted for owner approval). Riser designs shall be submitted to the owner for approval.  </w:t>
      </w:r>
      <w:r w:rsidR="00ED49E2">
        <w:t>A M</w:t>
      </w:r>
      <w:bookmarkStart w:id="0" w:name="_GoBack"/>
      <w:bookmarkEnd w:id="0"/>
      <w:r w:rsidR="00F73F61">
        <w:t xml:space="preserve">eyers hub shall be provided at </w:t>
      </w:r>
      <w:r w:rsidR="00ED49E2">
        <w:t>the conduit entrance on the top</w:t>
      </w:r>
      <w:r w:rsidR="00F73F61">
        <w:t xml:space="preserve"> of the Hoffman box. Provide terminal strips with 25% spare terminals within the box. </w:t>
      </w:r>
    </w:p>
    <w:p w14:paraId="4215F81C" w14:textId="1CEB06EB" w:rsidR="00F73F61" w:rsidRDefault="00F73F61" w:rsidP="00513402">
      <w:pPr>
        <w:numPr>
          <w:ilvl w:val="2"/>
          <w:numId w:val="2"/>
        </w:numPr>
        <w:ind w:left="1980"/>
      </w:pPr>
      <w:r>
        <w:t xml:space="preserve">Utilize line isolation modules where possible. </w:t>
      </w:r>
    </w:p>
    <w:p w14:paraId="2B14A3B3" w14:textId="00904062" w:rsidR="00513402" w:rsidRDefault="00513402" w:rsidP="00513402">
      <w:pPr>
        <w:numPr>
          <w:ilvl w:val="2"/>
          <w:numId w:val="2"/>
        </w:numPr>
        <w:ind w:left="1980"/>
      </w:pPr>
      <w:r>
        <w:t>All fire alarm system panels shall be connected to a dedicated 120v, 20 amp emergency circuit (if available).</w:t>
      </w:r>
    </w:p>
    <w:p w14:paraId="51D8CC1D" w14:textId="77777777" w:rsidR="00513402" w:rsidRDefault="00513402" w:rsidP="00513402">
      <w:pPr>
        <w:numPr>
          <w:ilvl w:val="2"/>
          <w:numId w:val="2"/>
        </w:numPr>
        <w:ind w:left="1980"/>
      </w:pPr>
      <w:r>
        <w:t>Fire alarm system wiring in conduit shall be a minimum of 3/4” EMT unless noted to be larger.</w:t>
      </w:r>
    </w:p>
    <w:p w14:paraId="051B5652" w14:textId="4B3883A4" w:rsidR="00513402" w:rsidRDefault="00513402" w:rsidP="00513402">
      <w:pPr>
        <w:numPr>
          <w:ilvl w:val="2"/>
          <w:numId w:val="2"/>
        </w:numPr>
        <w:ind w:left="1980"/>
      </w:pPr>
      <w:r>
        <w:t xml:space="preserve">All device junction boxes shall be </w:t>
      </w:r>
      <w:r w:rsidR="00F73F61">
        <w:t xml:space="preserve">minimum </w:t>
      </w:r>
      <w:r>
        <w:t>2-1/8” deep 4” square boxes</w:t>
      </w:r>
      <w:r w:rsidR="00F73F61">
        <w:t xml:space="preserve"> with extension ring, if required.</w:t>
      </w:r>
      <w:r>
        <w:t xml:space="preserve"> (unless noted to be larger).</w:t>
      </w:r>
    </w:p>
    <w:p w14:paraId="04CB3CD8" w14:textId="77777777" w:rsidR="00513402" w:rsidRDefault="00513402" w:rsidP="00513402">
      <w:pPr>
        <w:numPr>
          <w:ilvl w:val="2"/>
          <w:numId w:val="2"/>
        </w:numPr>
        <w:ind w:left="1980"/>
      </w:pPr>
      <w:r>
        <w:t>All junction box covers shall be painted RED.</w:t>
      </w:r>
    </w:p>
    <w:p w14:paraId="03E9CEAA" w14:textId="77777777" w:rsidR="00513402" w:rsidRDefault="00513402" w:rsidP="00513402">
      <w:pPr>
        <w:numPr>
          <w:ilvl w:val="2"/>
          <w:numId w:val="2"/>
        </w:numPr>
        <w:ind w:left="1980"/>
      </w:pPr>
      <w:r>
        <w:t>Follow fire alarm manufacturers device back box requirements, device wire size and type. All devices to be mounted in or on a box.</w:t>
      </w:r>
    </w:p>
    <w:p w14:paraId="521F0311" w14:textId="79FED268" w:rsidR="00F73F61" w:rsidRDefault="00F73F61" w:rsidP="00513402">
      <w:pPr>
        <w:numPr>
          <w:ilvl w:val="2"/>
          <w:numId w:val="2"/>
        </w:numPr>
        <w:ind w:left="1980"/>
      </w:pPr>
      <w:r>
        <w:t xml:space="preserve">Mark all initiation devices with node, loop and device number in visible location. Follow manufacturer’s programming nomenclature. </w:t>
      </w:r>
    </w:p>
    <w:p w14:paraId="3FDAEBBF" w14:textId="14306762" w:rsidR="00F73F61" w:rsidRDefault="003F3159" w:rsidP="00513402">
      <w:pPr>
        <w:numPr>
          <w:ilvl w:val="2"/>
          <w:numId w:val="2"/>
        </w:numPr>
        <w:ind w:left="1980"/>
      </w:pPr>
      <w:r>
        <w:t xml:space="preserve">Notification appliance circuits: Mark where end-of-line devices are located. All end-of-line devices shall be in an accessible location above the corridor ceiling. </w:t>
      </w:r>
    </w:p>
    <w:p w14:paraId="1FFAC52A" w14:textId="5C437496" w:rsidR="00162C5D" w:rsidRDefault="00162C5D" w:rsidP="00513402">
      <w:pPr>
        <w:numPr>
          <w:ilvl w:val="2"/>
          <w:numId w:val="2"/>
        </w:numPr>
        <w:ind w:left="1980"/>
      </w:pPr>
      <w:r>
        <w:t xml:space="preserve">Fiber optic cable installations for fire alarm systems and networks.  Designs and methods shall be reviewed with and approved by the owner prior to any work.  Fusion splicing of fiber may be required. </w:t>
      </w:r>
    </w:p>
    <w:p w14:paraId="6EE6DD83" w14:textId="20F0C0CA" w:rsidR="00C84FA7" w:rsidRDefault="00C84FA7" w:rsidP="000E6BDF">
      <w:r>
        <w:t>Related Sections</w:t>
      </w:r>
    </w:p>
    <w:p w14:paraId="1F5D8E2E" w14:textId="77777777" w:rsidR="00C84FA7" w:rsidRPr="00F73F61" w:rsidRDefault="00C84FA7" w:rsidP="00C84FA7">
      <w:pPr>
        <w:numPr>
          <w:ilvl w:val="1"/>
          <w:numId w:val="2"/>
        </w:numPr>
      </w:pPr>
      <w:r w:rsidRPr="00F73F61">
        <w:t>Building Wire and Cable</w:t>
      </w:r>
    </w:p>
    <w:p w14:paraId="701C7EB6" w14:textId="314DE790" w:rsidR="00C84FA7" w:rsidRPr="00F73F61" w:rsidRDefault="00C84FA7" w:rsidP="000E6BDF">
      <w:pPr>
        <w:numPr>
          <w:ilvl w:val="1"/>
          <w:numId w:val="2"/>
        </w:numPr>
      </w:pPr>
      <w:r w:rsidRPr="00F73F61">
        <w:t>Conduits, Fittings and Boxes</w:t>
      </w:r>
    </w:p>
    <w:p w14:paraId="419CB07E" w14:textId="495229DA" w:rsidR="008242C1" w:rsidRDefault="00E1391D" w:rsidP="00C84FA7">
      <w:pPr>
        <w:numPr>
          <w:ilvl w:val="0"/>
          <w:numId w:val="0"/>
        </w:numPr>
      </w:pPr>
      <w:r>
        <w:t>EQUIPMENT</w:t>
      </w:r>
      <w:r w:rsidR="008B255F">
        <w:t xml:space="preserve"> </w:t>
      </w:r>
      <w:r w:rsidR="008B255F" w:rsidRPr="00C84FA7">
        <w:t>and</w:t>
      </w:r>
      <w:r w:rsidR="008B255F">
        <w:t xml:space="preserve"> </w:t>
      </w:r>
      <w:r w:rsidR="001C0EF7">
        <w:t>PRODUCT REQUIREMENTS</w:t>
      </w:r>
    </w:p>
    <w:p w14:paraId="332BB56E" w14:textId="7E1DE338" w:rsidR="005F3A67" w:rsidRDefault="00513402" w:rsidP="005F3A67">
      <w:pPr>
        <w:numPr>
          <w:ilvl w:val="0"/>
          <w:numId w:val="3"/>
        </w:numPr>
        <w:spacing w:line="0" w:lineRule="atLeast"/>
      </w:pPr>
      <w:r>
        <w:t>Fire Alarm</w:t>
      </w:r>
      <w:r w:rsidR="000E6BDF">
        <w:t xml:space="preserve"> System</w:t>
      </w:r>
      <w:r>
        <w:t>s</w:t>
      </w:r>
    </w:p>
    <w:p w14:paraId="44B31C68" w14:textId="26F65CB2" w:rsidR="008B6F8F" w:rsidRDefault="00A266F8" w:rsidP="007A2B9D">
      <w:pPr>
        <w:numPr>
          <w:ilvl w:val="1"/>
          <w:numId w:val="3"/>
        </w:numPr>
        <w:spacing w:line="0" w:lineRule="atLeast"/>
      </w:pPr>
      <w:r>
        <w:t>Approved Manufacturers:</w:t>
      </w:r>
    </w:p>
    <w:p w14:paraId="74930E8D" w14:textId="0763A887" w:rsidR="00B632E9" w:rsidRDefault="00513402" w:rsidP="00A266F8">
      <w:pPr>
        <w:numPr>
          <w:ilvl w:val="2"/>
          <w:numId w:val="3"/>
        </w:numPr>
        <w:spacing w:line="0" w:lineRule="atLeast"/>
      </w:pPr>
      <w:r>
        <w:t>Notifier</w:t>
      </w:r>
    </w:p>
    <w:p w14:paraId="5B73DFF5" w14:textId="1544F373" w:rsidR="00513402" w:rsidRDefault="00513402" w:rsidP="00A266F8">
      <w:pPr>
        <w:numPr>
          <w:ilvl w:val="2"/>
          <w:numId w:val="3"/>
        </w:numPr>
        <w:spacing w:line="0" w:lineRule="atLeast"/>
      </w:pPr>
      <w:r>
        <w:lastRenderedPageBreak/>
        <w:t>Siemens</w:t>
      </w:r>
    </w:p>
    <w:p w14:paraId="728E483A" w14:textId="4C1801E6" w:rsidR="008242C1" w:rsidRDefault="00143442" w:rsidP="00430F72">
      <w:pPr>
        <w:numPr>
          <w:ilvl w:val="0"/>
          <w:numId w:val="0"/>
        </w:numPr>
        <w:spacing w:line="0" w:lineRule="atLeast"/>
        <w:ind w:left="1080" w:hanging="360"/>
      </w:pPr>
      <w:r>
        <w:t>END OF SECTION</w:t>
      </w:r>
    </w:p>
    <w:p w14:paraId="092B4123" w14:textId="77777777" w:rsidR="00430F72" w:rsidRDefault="00430F72" w:rsidP="00486734">
      <w:pPr>
        <w:numPr>
          <w:ilvl w:val="0"/>
          <w:numId w:val="0"/>
        </w:numPr>
        <w:spacing w:line="0" w:lineRule="atLeast"/>
      </w:pPr>
    </w:p>
    <w:p w14:paraId="5775CA36" w14:textId="77777777" w:rsidR="008242C1" w:rsidRPr="007F3B5F" w:rsidRDefault="008242C1" w:rsidP="007F3B5F">
      <w:pPr>
        <w:numPr>
          <w:ilvl w:val="0"/>
          <w:numId w:val="0"/>
        </w:numPr>
        <w:rPr>
          <w:rFonts w:ascii="Times New Roman" w:eastAsia="Times New Roman" w:hAnsi="Times New Roman"/>
          <w:sz w:val="24"/>
        </w:rPr>
      </w:pPr>
    </w:p>
    <w:sectPr w:rsidR="008242C1" w:rsidRPr="007F3B5F" w:rsidSect="002D2149">
      <w:headerReference w:type="default" r:id="rId8"/>
      <w:footerReference w:type="default" r:id="rId9"/>
      <w:type w:val="continuous"/>
      <w:pgSz w:w="12240" w:h="15840"/>
      <w:pgMar w:top="1440" w:right="1080" w:bottom="1440" w:left="1080" w:header="432" w:footer="720" w:gutter="0"/>
      <w:cols w:space="0" w:equalWidth="0">
        <w:col w:w="9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FA0CA" w14:textId="77777777" w:rsidR="00C9547E" w:rsidRDefault="00C9547E" w:rsidP="0094762A">
      <w:pPr>
        <w:spacing w:before="0" w:after="0"/>
      </w:pPr>
      <w:r>
        <w:separator/>
      </w:r>
    </w:p>
  </w:endnote>
  <w:endnote w:type="continuationSeparator" w:id="0">
    <w:p w14:paraId="67BC795F" w14:textId="77777777" w:rsidR="00C9547E" w:rsidRDefault="00C9547E" w:rsidP="009476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2F13E" w14:textId="77777777" w:rsidR="00CD29FE" w:rsidRDefault="00CD29FE" w:rsidP="00CD29FE">
    <w:pPr>
      <w:numPr>
        <w:ilvl w:val="0"/>
        <w:numId w:val="0"/>
      </w:numPr>
      <w:ind w:left="990"/>
    </w:pPr>
  </w:p>
  <w:tbl>
    <w:tblPr>
      <w:tblW w:w="0" w:type="auto"/>
      <w:tblLayout w:type="fixed"/>
      <w:tblCellMar>
        <w:left w:w="0" w:type="dxa"/>
        <w:right w:w="0" w:type="dxa"/>
      </w:tblCellMar>
      <w:tblLook w:val="0000" w:firstRow="0" w:lastRow="0" w:firstColumn="0" w:lastColumn="0" w:noHBand="0" w:noVBand="0"/>
    </w:tblPr>
    <w:tblGrid>
      <w:gridCol w:w="5440"/>
      <w:gridCol w:w="4640"/>
    </w:tblGrid>
    <w:tr w:rsidR="00B92FFF" w:rsidRPr="00CD29FE" w14:paraId="6724B2A7" w14:textId="77777777" w:rsidTr="002D2149">
      <w:trPr>
        <w:trHeight w:val="236"/>
      </w:trPr>
      <w:tc>
        <w:tcPr>
          <w:tcW w:w="5440" w:type="dxa"/>
          <w:tcBorders>
            <w:bottom w:val="single" w:sz="8" w:space="0" w:color="auto"/>
          </w:tcBorders>
          <w:shd w:val="clear" w:color="auto" w:fill="auto"/>
          <w:vAlign w:val="bottom"/>
        </w:tcPr>
        <w:p w14:paraId="663F12EB" w14:textId="3B52DC9F" w:rsidR="00B92FFF" w:rsidRPr="00CD29FE" w:rsidRDefault="00CD29FE" w:rsidP="007F3B5F">
          <w:pPr>
            <w:numPr>
              <w:ilvl w:val="0"/>
              <w:numId w:val="0"/>
            </w:numPr>
            <w:spacing w:before="0" w:after="0" w:line="0" w:lineRule="atLeast"/>
            <w:rPr>
              <w:rFonts w:ascii="Times New Roman" w:eastAsia="Times New Roman" w:hAnsi="Times New Roman"/>
            </w:rPr>
          </w:pPr>
          <w:r w:rsidRPr="00CD29FE">
            <w:t>FIRE ALARM SYSTEMS</w:t>
          </w:r>
        </w:p>
      </w:tc>
      <w:tc>
        <w:tcPr>
          <w:tcW w:w="4640" w:type="dxa"/>
          <w:tcBorders>
            <w:bottom w:val="single" w:sz="8" w:space="0" w:color="auto"/>
          </w:tcBorders>
          <w:shd w:val="clear" w:color="auto" w:fill="auto"/>
          <w:vAlign w:val="bottom"/>
        </w:tcPr>
        <w:p w14:paraId="1CC5B104" w14:textId="48137F42" w:rsidR="00B92FFF" w:rsidRPr="00CD29FE" w:rsidRDefault="00956EBC" w:rsidP="007F3B5F">
          <w:pPr>
            <w:numPr>
              <w:ilvl w:val="0"/>
              <w:numId w:val="0"/>
            </w:numPr>
            <w:spacing w:before="0" w:after="0" w:line="0" w:lineRule="atLeast"/>
            <w:ind w:left="360"/>
            <w:jc w:val="right"/>
            <w:rPr>
              <w:rFonts w:eastAsia="Arial"/>
            </w:rPr>
          </w:pPr>
          <w:r>
            <w:rPr>
              <w:rFonts w:eastAsia="Arial"/>
            </w:rPr>
            <w:t>July 17, 2023</w:t>
          </w:r>
        </w:p>
      </w:tc>
    </w:tr>
    <w:tr w:rsidR="00B92FFF" w:rsidRPr="00CD29FE" w14:paraId="39AF902A" w14:textId="77777777" w:rsidTr="002D2149">
      <w:trPr>
        <w:trHeight w:val="234"/>
      </w:trPr>
      <w:tc>
        <w:tcPr>
          <w:tcW w:w="5440" w:type="dxa"/>
          <w:shd w:val="clear" w:color="auto" w:fill="auto"/>
          <w:vAlign w:val="bottom"/>
        </w:tcPr>
        <w:p w14:paraId="05E6A676" w14:textId="52F54D85" w:rsidR="00B92FFF" w:rsidRPr="00CD29FE" w:rsidRDefault="00B92FFF" w:rsidP="00430F72">
          <w:pPr>
            <w:pStyle w:val="Heading1"/>
            <w:spacing w:before="0" w:after="0"/>
            <w:rPr>
              <w:b w:val="0"/>
            </w:rPr>
          </w:pPr>
        </w:p>
      </w:tc>
      <w:tc>
        <w:tcPr>
          <w:tcW w:w="4640" w:type="dxa"/>
          <w:shd w:val="clear" w:color="auto" w:fill="auto"/>
          <w:vAlign w:val="bottom"/>
        </w:tcPr>
        <w:p w14:paraId="7C8C9EA8" w14:textId="79B14054" w:rsidR="00B92FFF" w:rsidRPr="00CD29FE" w:rsidRDefault="009F0EEE" w:rsidP="009F0EEE">
          <w:pPr>
            <w:numPr>
              <w:ilvl w:val="0"/>
              <w:numId w:val="0"/>
            </w:numPr>
            <w:spacing w:before="0" w:after="0" w:line="0" w:lineRule="atLeast"/>
            <w:ind w:left="360"/>
            <w:jc w:val="right"/>
            <w:rPr>
              <w:rFonts w:eastAsia="Arial"/>
            </w:rPr>
          </w:pPr>
          <w:r w:rsidRPr="00CD29FE">
            <w:rPr>
              <w:rFonts w:eastAsia="Arial"/>
            </w:rPr>
            <w:fldChar w:fldCharType="begin"/>
          </w:r>
          <w:r w:rsidRPr="00CD29FE">
            <w:rPr>
              <w:rFonts w:eastAsia="Arial"/>
            </w:rPr>
            <w:instrText xml:space="preserve"> PAGE   \* MERGEFORMAT </w:instrText>
          </w:r>
          <w:r w:rsidRPr="00CD29FE">
            <w:rPr>
              <w:rFonts w:eastAsia="Arial"/>
            </w:rPr>
            <w:fldChar w:fldCharType="separate"/>
          </w:r>
          <w:r w:rsidR="00ED49E2">
            <w:rPr>
              <w:rFonts w:eastAsia="Arial"/>
              <w:noProof/>
            </w:rPr>
            <w:t>1</w:t>
          </w:r>
          <w:r w:rsidRPr="00CD29FE">
            <w:rPr>
              <w:rFonts w:eastAsia="Arial"/>
              <w:noProof/>
            </w:rPr>
            <w:fldChar w:fldCharType="end"/>
          </w:r>
        </w:p>
      </w:tc>
    </w:tr>
  </w:tbl>
  <w:p w14:paraId="1CE53D36" w14:textId="77777777" w:rsidR="007F3B5F" w:rsidRPr="00B92FFF" w:rsidRDefault="007F3B5F" w:rsidP="002D2149">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0E2DE" w14:textId="77777777" w:rsidR="00C9547E" w:rsidRDefault="00C9547E" w:rsidP="0094762A">
      <w:pPr>
        <w:spacing w:before="0" w:after="0"/>
      </w:pPr>
      <w:r>
        <w:separator/>
      </w:r>
    </w:p>
  </w:footnote>
  <w:footnote w:type="continuationSeparator" w:id="0">
    <w:p w14:paraId="1668B65C" w14:textId="77777777" w:rsidR="00C9547E" w:rsidRDefault="00C9547E" w:rsidP="0094762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17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5224"/>
    </w:tblGrid>
    <w:tr w:rsidR="002D2149" w:rsidRPr="002D2149" w14:paraId="6D733F0D" w14:textId="77777777" w:rsidTr="00A2213B">
      <w:trPr>
        <w:trHeight w:val="1260"/>
      </w:trPr>
      <w:tc>
        <w:tcPr>
          <w:tcW w:w="4946" w:type="dxa"/>
          <w:tcBorders>
            <w:bottom w:val="single" w:sz="4" w:space="0" w:color="auto"/>
          </w:tcBorders>
        </w:tcPr>
        <w:p w14:paraId="378D7216" w14:textId="77777777" w:rsidR="002D2149" w:rsidRPr="002D2149" w:rsidRDefault="002D2149" w:rsidP="002D2149">
          <w:pPr>
            <w:keepLines/>
            <w:numPr>
              <w:ilvl w:val="0"/>
              <w:numId w:val="0"/>
            </w:numPr>
            <w:tabs>
              <w:tab w:val="center" w:pos="4680"/>
              <w:tab w:val="right" w:pos="9360"/>
            </w:tabs>
            <w:spacing w:before="0" w:after="0"/>
          </w:pPr>
          <w:r w:rsidRPr="002D2149">
            <w:rPr>
              <w:noProof/>
            </w:rPr>
            <w:drawing>
              <wp:inline distT="0" distB="0" distL="0" distR="0" wp14:anchorId="2A5F1B51" wp14:editId="1DA7B7BD">
                <wp:extent cx="1184230" cy="77936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USM OFMD LOGO.png"/>
                        <pic:cNvPicPr/>
                      </pic:nvPicPr>
                      <pic:blipFill>
                        <a:blip r:embed="rId1"/>
                        <a:stretch>
                          <a:fillRect/>
                        </a:stretch>
                      </pic:blipFill>
                      <pic:spPr>
                        <a:xfrm>
                          <a:off x="0" y="0"/>
                          <a:ext cx="1184230" cy="779365"/>
                        </a:xfrm>
                        <a:prstGeom prst="rect">
                          <a:avLst/>
                        </a:prstGeom>
                      </pic:spPr>
                    </pic:pic>
                  </a:graphicData>
                </a:graphic>
              </wp:inline>
            </w:drawing>
          </w:r>
        </w:p>
      </w:tc>
      <w:tc>
        <w:tcPr>
          <w:tcW w:w="5224" w:type="dxa"/>
          <w:tcBorders>
            <w:bottom w:val="single" w:sz="4" w:space="0" w:color="auto"/>
          </w:tcBorders>
          <w:vAlign w:val="bottom"/>
        </w:tcPr>
        <w:p w14:paraId="485E8724" w14:textId="77777777" w:rsidR="002D2149" w:rsidRPr="002D2149" w:rsidRDefault="002D2149" w:rsidP="002D2149">
          <w:pPr>
            <w:keepLines/>
            <w:numPr>
              <w:ilvl w:val="0"/>
              <w:numId w:val="0"/>
            </w:numPr>
            <w:tabs>
              <w:tab w:val="center" w:pos="4680"/>
              <w:tab w:val="right" w:pos="9360"/>
            </w:tabs>
            <w:spacing w:before="0"/>
            <w:ind w:left="720"/>
            <w:rPr>
              <w:sz w:val="22"/>
              <w:szCs w:val="22"/>
            </w:rPr>
          </w:pPr>
          <w:r w:rsidRPr="002D2149">
            <w:t xml:space="preserve">                                    </w:t>
          </w:r>
          <w:r w:rsidRPr="002D2149">
            <w:rPr>
              <w:sz w:val="22"/>
              <w:szCs w:val="22"/>
            </w:rPr>
            <w:t>DESIGN STANDARDS</w:t>
          </w:r>
        </w:p>
      </w:tc>
    </w:tr>
  </w:tbl>
  <w:p w14:paraId="5F23FFF2" w14:textId="464081CF" w:rsidR="0094762A" w:rsidRDefault="002D2149" w:rsidP="002D2149">
    <w:pPr>
      <w:pStyle w:val="Header"/>
      <w:numPr>
        <w:ilvl w:val="0"/>
        <w:numId w:val="0"/>
      </w:numPr>
      <w:tabs>
        <w:tab w:val="clear" w:pos="9360"/>
        <w:tab w:val="right" w:pos="10080"/>
      </w:tabs>
      <w:rPr>
        <w:sz w:val="22"/>
        <w:szCs w:val="22"/>
      </w:rPr>
    </w:pPr>
    <w:r w:rsidRPr="002D2149">
      <w:tab/>
    </w:r>
    <w:r>
      <w:tab/>
    </w:r>
    <w:r w:rsidRPr="002D2149">
      <w:rPr>
        <w:sz w:val="22"/>
        <w:szCs w:val="22"/>
      </w:rPr>
      <w:t>Washington University School of Medicine</w:t>
    </w:r>
  </w:p>
  <w:p w14:paraId="33C0CC39" w14:textId="77777777" w:rsidR="002D2149" w:rsidRPr="002D2149" w:rsidRDefault="002D2149" w:rsidP="002D2149">
    <w:pPr>
      <w:pStyle w:val="Header"/>
      <w:numPr>
        <w:ilvl w:val="0"/>
        <w:numId w:val="0"/>
      </w:numPr>
      <w:tabs>
        <w:tab w:val="clear" w:pos="9360"/>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57A89"/>
    <w:multiLevelType w:val="hybridMultilevel"/>
    <w:tmpl w:val="07B27804"/>
    <w:lvl w:ilvl="0" w:tplc="B0764580">
      <w:start w:val="1"/>
      <w:numFmt w:val="decimal"/>
      <w:pStyle w:val="Normal"/>
      <w:lvlText w:val="%1."/>
      <w:lvlJc w:val="left"/>
      <w:pPr>
        <w:ind w:left="990" w:hanging="360"/>
      </w:pPr>
      <w:rPr>
        <w:rFonts w:ascii="Arial" w:hAnsi="Arial" w:cs="Arial" w:hint="default"/>
        <w:i w:val="0"/>
        <w:sz w:val="20"/>
        <w:szCs w:val="20"/>
      </w:rPr>
    </w:lvl>
    <w:lvl w:ilvl="1" w:tplc="F5AA089C">
      <w:start w:val="1"/>
      <w:numFmt w:val="lowerLetter"/>
      <w:lvlText w:val="%2."/>
      <w:lvlJc w:val="left"/>
      <w:pPr>
        <w:ind w:left="1800" w:hanging="360"/>
      </w:pPr>
      <w:rPr>
        <w:rFonts w:ascii="Arial" w:hAnsi="Arial" w:cs="Arial" w:hint="default"/>
        <w:sz w:val="20"/>
        <w:szCs w:val="20"/>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F20FD0"/>
    <w:multiLevelType w:val="hybridMultilevel"/>
    <w:tmpl w:val="2AE05DAC"/>
    <w:lvl w:ilvl="0" w:tplc="BEE60C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BF774DD"/>
    <w:multiLevelType w:val="hybridMultilevel"/>
    <w:tmpl w:val="0E56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lvlOverride w:ilvl="0">
      <w:startOverride w:val="1"/>
    </w:lvlOverride>
  </w:num>
  <w:num w:numId="4">
    <w:abstractNumId w:val="0"/>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bY0MTAyB9KmBuaWpko6SsGpxcWZ+XkgBca1ANQZZ7ksAAAA"/>
  </w:docVars>
  <w:rsids>
    <w:rsidRoot w:val="00E946F8"/>
    <w:rsid w:val="00010726"/>
    <w:rsid w:val="00023E02"/>
    <w:rsid w:val="000318E5"/>
    <w:rsid w:val="00046B07"/>
    <w:rsid w:val="00076AB4"/>
    <w:rsid w:val="000A0EEB"/>
    <w:rsid w:val="000A2809"/>
    <w:rsid w:val="000E5D45"/>
    <w:rsid w:val="000E6BDF"/>
    <w:rsid w:val="000F3EEC"/>
    <w:rsid w:val="0010130D"/>
    <w:rsid w:val="00143442"/>
    <w:rsid w:val="00152ED5"/>
    <w:rsid w:val="00162C5D"/>
    <w:rsid w:val="00174D0A"/>
    <w:rsid w:val="00195CE0"/>
    <w:rsid w:val="00195FD2"/>
    <w:rsid w:val="001B33C9"/>
    <w:rsid w:val="001C0B16"/>
    <w:rsid w:val="001C0EF7"/>
    <w:rsid w:val="001E4BBB"/>
    <w:rsid w:val="001F479A"/>
    <w:rsid w:val="00240E31"/>
    <w:rsid w:val="00252C26"/>
    <w:rsid w:val="002A6E49"/>
    <w:rsid w:val="002B3AFE"/>
    <w:rsid w:val="002D2149"/>
    <w:rsid w:val="002E025B"/>
    <w:rsid w:val="002E17C9"/>
    <w:rsid w:val="002E2B7E"/>
    <w:rsid w:val="002F5F41"/>
    <w:rsid w:val="0030088B"/>
    <w:rsid w:val="00303118"/>
    <w:rsid w:val="0031065D"/>
    <w:rsid w:val="00333F5F"/>
    <w:rsid w:val="003764AD"/>
    <w:rsid w:val="003860B2"/>
    <w:rsid w:val="003B4609"/>
    <w:rsid w:val="003C2391"/>
    <w:rsid w:val="003C58E4"/>
    <w:rsid w:val="003F3159"/>
    <w:rsid w:val="00402115"/>
    <w:rsid w:val="00402649"/>
    <w:rsid w:val="00405826"/>
    <w:rsid w:val="004133B9"/>
    <w:rsid w:val="00415F2A"/>
    <w:rsid w:val="00421615"/>
    <w:rsid w:val="004220A1"/>
    <w:rsid w:val="00430F72"/>
    <w:rsid w:val="00486734"/>
    <w:rsid w:val="00496DF9"/>
    <w:rsid w:val="004A2F58"/>
    <w:rsid w:val="004B62DC"/>
    <w:rsid w:val="004E0CD4"/>
    <w:rsid w:val="004F5D2C"/>
    <w:rsid w:val="00510059"/>
    <w:rsid w:val="005116BB"/>
    <w:rsid w:val="00513402"/>
    <w:rsid w:val="00533AA9"/>
    <w:rsid w:val="00540321"/>
    <w:rsid w:val="00556B16"/>
    <w:rsid w:val="00580C59"/>
    <w:rsid w:val="005A3B47"/>
    <w:rsid w:val="005E6FD2"/>
    <w:rsid w:val="005F3A67"/>
    <w:rsid w:val="00604A8B"/>
    <w:rsid w:val="00612744"/>
    <w:rsid w:val="006176CA"/>
    <w:rsid w:val="00627673"/>
    <w:rsid w:val="00632396"/>
    <w:rsid w:val="0065205F"/>
    <w:rsid w:val="00671CD8"/>
    <w:rsid w:val="006A3EE9"/>
    <w:rsid w:val="006C36C3"/>
    <w:rsid w:val="006C4160"/>
    <w:rsid w:val="006C7685"/>
    <w:rsid w:val="006D5AC8"/>
    <w:rsid w:val="006F64C5"/>
    <w:rsid w:val="007333AF"/>
    <w:rsid w:val="00763290"/>
    <w:rsid w:val="00765B4E"/>
    <w:rsid w:val="007917EA"/>
    <w:rsid w:val="007A2B9D"/>
    <w:rsid w:val="007A3195"/>
    <w:rsid w:val="007B4ACA"/>
    <w:rsid w:val="007B77DB"/>
    <w:rsid w:val="007B7A4F"/>
    <w:rsid w:val="007C0612"/>
    <w:rsid w:val="007F3B5F"/>
    <w:rsid w:val="00816490"/>
    <w:rsid w:val="00823F49"/>
    <w:rsid w:val="008242C1"/>
    <w:rsid w:val="0084382E"/>
    <w:rsid w:val="00852A3A"/>
    <w:rsid w:val="0086515F"/>
    <w:rsid w:val="00894262"/>
    <w:rsid w:val="008B1B0E"/>
    <w:rsid w:val="008B255F"/>
    <w:rsid w:val="008B6F8F"/>
    <w:rsid w:val="008D1D9E"/>
    <w:rsid w:val="0094048B"/>
    <w:rsid w:val="0094247C"/>
    <w:rsid w:val="009435FE"/>
    <w:rsid w:val="0094762A"/>
    <w:rsid w:val="00956EBC"/>
    <w:rsid w:val="00970D7B"/>
    <w:rsid w:val="00984FF7"/>
    <w:rsid w:val="009D4967"/>
    <w:rsid w:val="009D7B14"/>
    <w:rsid w:val="009F0EEE"/>
    <w:rsid w:val="009F61C1"/>
    <w:rsid w:val="00A114A0"/>
    <w:rsid w:val="00A266F8"/>
    <w:rsid w:val="00A42788"/>
    <w:rsid w:val="00A45021"/>
    <w:rsid w:val="00A463BD"/>
    <w:rsid w:val="00A520ED"/>
    <w:rsid w:val="00A75093"/>
    <w:rsid w:val="00AB5230"/>
    <w:rsid w:val="00AD6C22"/>
    <w:rsid w:val="00B02670"/>
    <w:rsid w:val="00B15E8C"/>
    <w:rsid w:val="00B27F73"/>
    <w:rsid w:val="00B6192C"/>
    <w:rsid w:val="00B632E9"/>
    <w:rsid w:val="00B92FFF"/>
    <w:rsid w:val="00B95F7D"/>
    <w:rsid w:val="00BA6AF2"/>
    <w:rsid w:val="00BC0C0F"/>
    <w:rsid w:val="00BD5325"/>
    <w:rsid w:val="00BE559E"/>
    <w:rsid w:val="00BE7C25"/>
    <w:rsid w:val="00C15ED7"/>
    <w:rsid w:val="00C400E1"/>
    <w:rsid w:val="00C41EDA"/>
    <w:rsid w:val="00C82530"/>
    <w:rsid w:val="00C83A9F"/>
    <w:rsid w:val="00C84FA7"/>
    <w:rsid w:val="00C9547E"/>
    <w:rsid w:val="00C96D62"/>
    <w:rsid w:val="00CA30A7"/>
    <w:rsid w:val="00CA629C"/>
    <w:rsid w:val="00CC26B7"/>
    <w:rsid w:val="00CD29FE"/>
    <w:rsid w:val="00D0546C"/>
    <w:rsid w:val="00D22589"/>
    <w:rsid w:val="00D24C8C"/>
    <w:rsid w:val="00D74CF6"/>
    <w:rsid w:val="00D82DCA"/>
    <w:rsid w:val="00DC4218"/>
    <w:rsid w:val="00DD5FD0"/>
    <w:rsid w:val="00DE2E46"/>
    <w:rsid w:val="00DF2D3F"/>
    <w:rsid w:val="00E10500"/>
    <w:rsid w:val="00E1391D"/>
    <w:rsid w:val="00E1462A"/>
    <w:rsid w:val="00E233FD"/>
    <w:rsid w:val="00E27FD0"/>
    <w:rsid w:val="00E57724"/>
    <w:rsid w:val="00E62B4D"/>
    <w:rsid w:val="00E749DA"/>
    <w:rsid w:val="00E83408"/>
    <w:rsid w:val="00E87BD9"/>
    <w:rsid w:val="00E946F8"/>
    <w:rsid w:val="00EA4867"/>
    <w:rsid w:val="00EB6C6C"/>
    <w:rsid w:val="00EC4EF4"/>
    <w:rsid w:val="00EC5C62"/>
    <w:rsid w:val="00ED49E2"/>
    <w:rsid w:val="00F01294"/>
    <w:rsid w:val="00F0149D"/>
    <w:rsid w:val="00F14A27"/>
    <w:rsid w:val="00F31153"/>
    <w:rsid w:val="00F43FBE"/>
    <w:rsid w:val="00F458C1"/>
    <w:rsid w:val="00F653B4"/>
    <w:rsid w:val="00F733CD"/>
    <w:rsid w:val="00F73F61"/>
    <w:rsid w:val="00F7500F"/>
    <w:rsid w:val="00F970AF"/>
    <w:rsid w:val="00FA1F34"/>
    <w:rsid w:val="00FD4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54E4EDB4"/>
  <w15:docId w15:val="{1D323379-EDDD-4B44-985D-AC269804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B5F"/>
    <w:pPr>
      <w:numPr>
        <w:numId w:val="2"/>
      </w:numPr>
      <w:spacing w:before="120" w:after="120"/>
    </w:pPr>
    <w:rPr>
      <w:rFonts w:ascii="Arial" w:hAnsi="Arial"/>
    </w:rPr>
  </w:style>
  <w:style w:type="paragraph" w:styleId="Heading1">
    <w:name w:val="heading 1"/>
    <w:next w:val="Normal"/>
    <w:link w:val="Heading1Char"/>
    <w:uiPriority w:val="9"/>
    <w:qFormat/>
    <w:rsid w:val="00B92FFF"/>
    <w:pPr>
      <w:spacing w:before="360" w:after="240"/>
      <w:outlineLvl w:val="0"/>
    </w:pPr>
    <w:rPr>
      <w:rFonts w:ascii="Arial" w:eastAsia="Arial" w:hAnsi="Arial"/>
      <w:b/>
      <w:caps/>
    </w:rPr>
  </w:style>
  <w:style w:type="paragraph" w:styleId="Heading2">
    <w:name w:val="heading 2"/>
    <w:basedOn w:val="Normal"/>
    <w:next w:val="Normal"/>
    <w:link w:val="Heading2Char"/>
    <w:uiPriority w:val="9"/>
    <w:unhideWhenUsed/>
    <w:qFormat/>
    <w:rsid w:val="007F3B5F"/>
    <w:pPr>
      <w:numPr>
        <w:numId w:val="0"/>
      </w:numPr>
      <w:spacing w:before="240" w:after="240" w:line="0" w:lineRule="atLeast"/>
      <w:outlineLvl w:val="1"/>
    </w:pPr>
    <w:rPr>
      <w:rFonts w:eastAsia="Arial"/>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94762A"/>
    <w:pPr>
      <w:spacing w:line="0" w:lineRule="atLeast"/>
      <w:ind w:left="6696"/>
    </w:pPr>
    <w:rPr>
      <w:rFonts w:ascii="Arial" w:eastAsia="Arial" w:hAnsi="Arial"/>
      <w:b/>
      <w:sz w:val="24"/>
    </w:rPr>
  </w:style>
  <w:style w:type="character" w:customStyle="1" w:styleId="TitleChar">
    <w:name w:val="Title Char"/>
    <w:basedOn w:val="DefaultParagraphFont"/>
    <w:link w:val="Title"/>
    <w:uiPriority w:val="10"/>
    <w:rsid w:val="0094762A"/>
    <w:rPr>
      <w:rFonts w:ascii="Arial" w:eastAsia="Arial" w:hAnsi="Arial"/>
      <w:b/>
      <w:sz w:val="24"/>
    </w:rPr>
  </w:style>
  <w:style w:type="character" w:customStyle="1" w:styleId="Heading2Char">
    <w:name w:val="Heading 2 Char"/>
    <w:basedOn w:val="DefaultParagraphFont"/>
    <w:link w:val="Heading2"/>
    <w:uiPriority w:val="9"/>
    <w:rsid w:val="007F3B5F"/>
    <w:rPr>
      <w:rFonts w:ascii="Arial" w:eastAsia="Arial" w:hAnsi="Arial"/>
      <w:caps/>
    </w:rPr>
  </w:style>
  <w:style w:type="character" w:customStyle="1" w:styleId="Heading1Char">
    <w:name w:val="Heading 1 Char"/>
    <w:basedOn w:val="DefaultParagraphFont"/>
    <w:link w:val="Heading1"/>
    <w:uiPriority w:val="9"/>
    <w:rsid w:val="00B92FFF"/>
    <w:rPr>
      <w:rFonts w:ascii="Arial" w:eastAsia="Arial" w:hAnsi="Arial"/>
      <w:b/>
      <w:caps/>
    </w:rPr>
  </w:style>
  <w:style w:type="paragraph" w:styleId="Subtitle">
    <w:name w:val="Subtitle"/>
    <w:next w:val="Normal"/>
    <w:link w:val="SubtitleChar"/>
    <w:uiPriority w:val="11"/>
    <w:qFormat/>
    <w:rsid w:val="0094762A"/>
    <w:pPr>
      <w:spacing w:before="60" w:line="0" w:lineRule="atLeast"/>
      <w:ind w:left="4306"/>
    </w:pPr>
    <w:rPr>
      <w:rFonts w:ascii="Arial" w:eastAsia="Arial" w:hAnsi="Arial"/>
    </w:rPr>
  </w:style>
  <w:style w:type="character" w:customStyle="1" w:styleId="SubtitleChar">
    <w:name w:val="Subtitle Char"/>
    <w:basedOn w:val="DefaultParagraphFont"/>
    <w:link w:val="Subtitle"/>
    <w:uiPriority w:val="11"/>
    <w:rsid w:val="0094762A"/>
    <w:rPr>
      <w:rFonts w:ascii="Arial" w:eastAsia="Arial" w:hAnsi="Arial"/>
    </w:rPr>
  </w:style>
  <w:style w:type="paragraph" w:styleId="Header">
    <w:name w:val="header"/>
    <w:basedOn w:val="Normal"/>
    <w:link w:val="HeaderChar"/>
    <w:unhideWhenUsed/>
    <w:rsid w:val="0094762A"/>
    <w:pPr>
      <w:tabs>
        <w:tab w:val="center" w:pos="4680"/>
        <w:tab w:val="right" w:pos="9360"/>
      </w:tabs>
      <w:spacing w:before="0" w:after="0"/>
    </w:pPr>
  </w:style>
  <w:style w:type="character" w:customStyle="1" w:styleId="HeaderChar">
    <w:name w:val="Header Char"/>
    <w:basedOn w:val="DefaultParagraphFont"/>
    <w:link w:val="Header"/>
    <w:rsid w:val="0094762A"/>
  </w:style>
  <w:style w:type="paragraph" w:styleId="Footer">
    <w:name w:val="footer"/>
    <w:basedOn w:val="Normal"/>
    <w:link w:val="FooterChar"/>
    <w:uiPriority w:val="99"/>
    <w:unhideWhenUsed/>
    <w:rsid w:val="0094762A"/>
    <w:pPr>
      <w:tabs>
        <w:tab w:val="center" w:pos="4680"/>
        <w:tab w:val="right" w:pos="9360"/>
      </w:tabs>
      <w:spacing w:before="0" w:after="0"/>
    </w:pPr>
  </w:style>
  <w:style w:type="character" w:customStyle="1" w:styleId="FooterChar">
    <w:name w:val="Footer Char"/>
    <w:basedOn w:val="DefaultParagraphFont"/>
    <w:link w:val="Footer"/>
    <w:uiPriority w:val="99"/>
    <w:rsid w:val="0094762A"/>
  </w:style>
  <w:style w:type="paragraph" w:styleId="ListParagraph">
    <w:name w:val="List Paragraph"/>
    <w:basedOn w:val="Normal"/>
    <w:uiPriority w:val="34"/>
    <w:qFormat/>
    <w:rsid w:val="00B92FFF"/>
    <w:pPr>
      <w:contextualSpacing/>
    </w:pPr>
  </w:style>
  <w:style w:type="paragraph" w:styleId="BodyTextIndent">
    <w:name w:val="Body Text Indent"/>
    <w:basedOn w:val="Normal"/>
    <w:link w:val="BodyTextIndentChar"/>
    <w:rsid w:val="00E27FD0"/>
    <w:pPr>
      <w:numPr>
        <w:numId w:val="0"/>
      </w:numPr>
      <w:spacing w:before="0"/>
      <w:ind w:left="360"/>
    </w:pPr>
    <w:rPr>
      <w:rFonts w:eastAsia="Times New Roman"/>
      <w:szCs w:val="24"/>
    </w:rPr>
  </w:style>
  <w:style w:type="character" w:customStyle="1" w:styleId="BodyTextIndentChar">
    <w:name w:val="Body Text Indent Char"/>
    <w:basedOn w:val="DefaultParagraphFont"/>
    <w:link w:val="BodyTextIndent"/>
    <w:rsid w:val="00E27FD0"/>
    <w:rPr>
      <w:rFonts w:ascii="Arial" w:eastAsia="Times New Roman" w:hAnsi="Arial"/>
      <w:szCs w:val="24"/>
    </w:rPr>
  </w:style>
  <w:style w:type="table" w:styleId="TableGrid">
    <w:name w:val="Table Grid"/>
    <w:basedOn w:val="TableNormal"/>
    <w:uiPriority w:val="59"/>
    <w:unhideWhenUsed/>
    <w:rsid w:val="002D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C2BCA-746C-4A0F-ABB3-64843EAA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SSC Engineering Inc.</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Meyer</dc:creator>
  <cp:keywords/>
  <cp:lastModifiedBy>Sagehorn, Dee</cp:lastModifiedBy>
  <cp:revision>4</cp:revision>
  <cp:lastPrinted>2018-03-05T22:43:00Z</cp:lastPrinted>
  <dcterms:created xsi:type="dcterms:W3CDTF">2023-07-17T13:08:00Z</dcterms:created>
  <dcterms:modified xsi:type="dcterms:W3CDTF">2023-07-25T18:05:00Z</dcterms:modified>
</cp:coreProperties>
</file>