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DFAE0BC" w14:textId="65F432AA" w:rsidR="008242C1" w:rsidRPr="00E1391D" w:rsidRDefault="004B62DC" w:rsidP="008D3820">
      <w:pPr>
        <w:pStyle w:val="Heading1"/>
        <w:spacing w:before="0"/>
      </w:pPr>
      <w:r>
        <w:t>interior lighting</w:t>
      </w:r>
    </w:p>
    <w:p w14:paraId="0C8C525C" w14:textId="77777777" w:rsidR="008242C1" w:rsidRDefault="00E1391D" w:rsidP="00E1391D">
      <w:pPr>
        <w:pStyle w:val="Heading2"/>
      </w:pPr>
      <w:r w:rsidRPr="00E1391D">
        <w:t>DESIGN</w:t>
      </w:r>
      <w:r>
        <w:t xml:space="preserve"> </w:t>
      </w:r>
      <w:r w:rsidR="003B4609">
        <w:t>GUIDELINES</w:t>
      </w:r>
    </w:p>
    <w:p w14:paraId="02CD5150" w14:textId="7CE4562E" w:rsidR="006C4160" w:rsidRDefault="006C4160" w:rsidP="006C4160">
      <w:r>
        <w:t>Summary:</w:t>
      </w:r>
    </w:p>
    <w:p w14:paraId="60B5FFBE" w14:textId="2A11DDD4" w:rsidR="006C4160" w:rsidRDefault="006C4160" w:rsidP="002A6E49">
      <w:pPr>
        <w:numPr>
          <w:ilvl w:val="1"/>
          <w:numId w:val="2"/>
        </w:numPr>
      </w:pPr>
      <w:r>
        <w:t>This section provides guide</w:t>
      </w:r>
      <w:r w:rsidR="002A6E49">
        <w:t xml:space="preserve">lines and standards for </w:t>
      </w:r>
      <w:r w:rsidR="00D855A3">
        <w:t>Interior Lighting</w:t>
      </w:r>
      <w:r>
        <w:t xml:space="preserve">. </w:t>
      </w:r>
    </w:p>
    <w:p w14:paraId="695B3F6D" w14:textId="77777777" w:rsidR="00901E7A" w:rsidRDefault="00901E7A" w:rsidP="00901E7A">
      <w:r w:rsidRPr="00E27FD0">
        <w:t xml:space="preserve">General </w:t>
      </w:r>
    </w:p>
    <w:p w14:paraId="24203F7A" w14:textId="77777777" w:rsidR="00901E7A" w:rsidRDefault="00901E7A" w:rsidP="00901E7A">
      <w:pPr>
        <w:numPr>
          <w:ilvl w:val="1"/>
          <w:numId w:val="2"/>
        </w:numPr>
        <w:rPr>
          <w:iCs/>
        </w:rPr>
      </w:pPr>
      <w:r w:rsidRPr="00E27FD0">
        <w:rPr>
          <w:iCs/>
        </w:rPr>
        <w:t>Use 277 volt where available in building.</w:t>
      </w:r>
    </w:p>
    <w:p w14:paraId="042FF115" w14:textId="28AA8C7C" w:rsidR="00901E7A" w:rsidRDefault="00901E7A" w:rsidP="00901E7A">
      <w:pPr>
        <w:numPr>
          <w:ilvl w:val="1"/>
          <w:numId w:val="2"/>
        </w:numPr>
        <w:rPr>
          <w:iCs/>
        </w:rPr>
      </w:pPr>
      <w:r w:rsidRPr="00E27FD0">
        <w:rPr>
          <w:iCs/>
        </w:rPr>
        <w:t xml:space="preserve">MC </w:t>
      </w:r>
      <w:proofErr w:type="gramStart"/>
      <w:r w:rsidRPr="00E27FD0">
        <w:rPr>
          <w:iCs/>
        </w:rPr>
        <w:t>cable</w:t>
      </w:r>
      <w:proofErr w:type="gramEnd"/>
      <w:r w:rsidRPr="00E27FD0">
        <w:rPr>
          <w:iCs/>
        </w:rPr>
        <w:t xml:space="preserve"> is acceptable for “whips” from junction boxes.</w:t>
      </w:r>
      <w:r w:rsidR="006F6F59">
        <w:rPr>
          <w:iCs/>
        </w:rPr>
        <w:t xml:space="preserve"> </w:t>
      </w:r>
    </w:p>
    <w:p w14:paraId="4E4BE278" w14:textId="1AC4E7F7" w:rsidR="008905DE" w:rsidRDefault="00901E7A" w:rsidP="008905DE">
      <w:pPr>
        <w:numPr>
          <w:ilvl w:val="1"/>
          <w:numId w:val="2"/>
        </w:numPr>
        <w:rPr>
          <w:iCs/>
        </w:rPr>
      </w:pPr>
      <w:r>
        <w:rPr>
          <w:iCs/>
        </w:rPr>
        <w:t>F</w:t>
      </w:r>
      <w:r w:rsidRPr="00E27FD0">
        <w:rPr>
          <w:iCs/>
        </w:rPr>
        <w:t xml:space="preserve">ixtures shall be hard wired (no </w:t>
      </w:r>
      <w:r w:rsidR="008905DE">
        <w:rPr>
          <w:iCs/>
        </w:rPr>
        <w:t>“</w:t>
      </w:r>
      <w:r w:rsidRPr="00E27FD0">
        <w:rPr>
          <w:iCs/>
        </w:rPr>
        <w:t xml:space="preserve">plug-in” type, i.e. </w:t>
      </w:r>
      <w:proofErr w:type="spellStart"/>
      <w:r w:rsidRPr="00E27FD0">
        <w:rPr>
          <w:iCs/>
        </w:rPr>
        <w:t>Reloc</w:t>
      </w:r>
      <w:proofErr w:type="spellEnd"/>
      <w:r w:rsidRPr="00E27FD0">
        <w:rPr>
          <w:iCs/>
        </w:rPr>
        <w:t xml:space="preserve">, </w:t>
      </w:r>
      <w:proofErr w:type="spellStart"/>
      <w:r w:rsidRPr="00E27FD0">
        <w:rPr>
          <w:iCs/>
        </w:rPr>
        <w:t>Holoflex</w:t>
      </w:r>
      <w:proofErr w:type="spellEnd"/>
      <w:r w:rsidRPr="00E27FD0">
        <w:rPr>
          <w:iCs/>
        </w:rPr>
        <w:t>, or other modular wiring system).</w:t>
      </w:r>
      <w:r w:rsidR="006F6F59">
        <w:rPr>
          <w:iCs/>
        </w:rPr>
        <w:t xml:space="preserve"> </w:t>
      </w:r>
    </w:p>
    <w:p w14:paraId="5FB8C434" w14:textId="503BFECB" w:rsidR="008905DE" w:rsidRDefault="008905DE" w:rsidP="008905DE">
      <w:pPr>
        <w:numPr>
          <w:ilvl w:val="1"/>
          <w:numId w:val="2"/>
        </w:numPr>
        <w:rPr>
          <w:iCs/>
        </w:rPr>
      </w:pPr>
      <w:r w:rsidRPr="00E27FD0">
        <w:rPr>
          <w:iCs/>
        </w:rPr>
        <w:t>Fixtures shall not be wired using “pinch connectors” or “butt splices”.</w:t>
      </w:r>
    </w:p>
    <w:p w14:paraId="4838045E" w14:textId="66C42FBB" w:rsidR="00901E7A" w:rsidRDefault="006A22DB" w:rsidP="00901E7A">
      <w:pPr>
        <w:numPr>
          <w:ilvl w:val="1"/>
          <w:numId w:val="2"/>
        </w:numPr>
        <w:rPr>
          <w:iCs/>
        </w:rPr>
      </w:pPr>
      <w:r>
        <w:rPr>
          <w:iCs/>
        </w:rPr>
        <w:t>Lay-in</w:t>
      </w:r>
      <w:r w:rsidR="00901E7A" w:rsidRPr="00E27FD0">
        <w:rPr>
          <w:iCs/>
        </w:rPr>
        <w:t xml:space="preserve"> fixtures shall have 4-point support independent of grid. Other fixtures shall be supported per applicable codes</w:t>
      </w:r>
      <w:r>
        <w:rPr>
          <w:iCs/>
        </w:rPr>
        <w:t xml:space="preserve"> and seismic requirements</w:t>
      </w:r>
      <w:r w:rsidR="00901E7A" w:rsidRPr="00E27FD0">
        <w:rPr>
          <w:iCs/>
        </w:rPr>
        <w:t>.</w:t>
      </w:r>
    </w:p>
    <w:p w14:paraId="69CC4DDD" w14:textId="77777777" w:rsidR="00543D46" w:rsidRPr="00543D46" w:rsidRDefault="008905DE" w:rsidP="008905DE">
      <w:pPr>
        <w:numPr>
          <w:ilvl w:val="1"/>
          <w:numId w:val="2"/>
        </w:numPr>
      </w:pPr>
      <w:r w:rsidRPr="00E27FD0">
        <w:rPr>
          <w:iCs/>
        </w:rPr>
        <w:t>Fixtures shall be s</w:t>
      </w:r>
      <w:r>
        <w:rPr>
          <w:iCs/>
        </w:rPr>
        <w:t xml:space="preserve">tatic troffers </w:t>
      </w:r>
      <w:r w:rsidRPr="006A22DB">
        <w:rPr>
          <w:iCs/>
        </w:rPr>
        <w:t>and shall not be utilized for air-handling purposes.</w:t>
      </w:r>
    </w:p>
    <w:p w14:paraId="0B854D0F" w14:textId="03D1073F" w:rsidR="008905DE" w:rsidRPr="00EB3957" w:rsidRDefault="00543D46" w:rsidP="008905DE">
      <w:pPr>
        <w:numPr>
          <w:ilvl w:val="1"/>
          <w:numId w:val="2"/>
        </w:numPr>
      </w:pPr>
      <w:r w:rsidRPr="006A22DB">
        <w:rPr>
          <w:iCs/>
        </w:rPr>
        <w:t>Refer to Lighting Controls Design Standards for typical control methods.</w:t>
      </w:r>
      <w:r w:rsidR="008905DE" w:rsidRPr="006A22DB">
        <w:rPr>
          <w:iCs/>
        </w:rPr>
        <w:t xml:space="preserve"> </w:t>
      </w:r>
    </w:p>
    <w:p w14:paraId="6C708016" w14:textId="7D4762E8" w:rsidR="00EB3957" w:rsidRPr="00EB3957" w:rsidRDefault="00EB3957" w:rsidP="00EB3957">
      <w:pPr>
        <w:numPr>
          <w:ilvl w:val="1"/>
          <w:numId w:val="2"/>
        </w:numPr>
        <w:rPr>
          <w:iCs/>
        </w:rPr>
      </w:pPr>
      <w:r w:rsidRPr="00E27FD0">
        <w:rPr>
          <w:iCs/>
        </w:rPr>
        <w:t xml:space="preserve">All fixtures shall use the </w:t>
      </w:r>
      <w:r w:rsidRPr="00E27FD0">
        <w:rPr>
          <w:b/>
          <w:iCs/>
          <w:u w:val="single"/>
        </w:rPr>
        <w:t xml:space="preserve">Ideal </w:t>
      </w:r>
      <w:proofErr w:type="spellStart"/>
      <w:r w:rsidRPr="00E27FD0">
        <w:rPr>
          <w:b/>
          <w:iCs/>
          <w:u w:val="single"/>
        </w:rPr>
        <w:t>PowerPlug</w:t>
      </w:r>
      <w:proofErr w:type="spellEnd"/>
      <w:r w:rsidRPr="00E27FD0">
        <w:rPr>
          <w:iCs/>
        </w:rPr>
        <w:t xml:space="preserve"> or equal luminaire disconnect for connection between the A.C. power and the LED driver(s)</w:t>
      </w:r>
      <w:r>
        <w:rPr>
          <w:iCs/>
        </w:rPr>
        <w:t>/ballast</w:t>
      </w:r>
      <w:r w:rsidRPr="00E27FD0">
        <w:rPr>
          <w:iCs/>
        </w:rPr>
        <w:t xml:space="preserve"> for ease of removing power to the luminaire.</w:t>
      </w:r>
    </w:p>
    <w:p w14:paraId="1C702DC2" w14:textId="7B5BFF9E" w:rsidR="00901E7A" w:rsidRDefault="00901E7A" w:rsidP="00901E7A">
      <w:r w:rsidRPr="00E27FD0">
        <w:t>LED</w:t>
      </w:r>
      <w:r>
        <w:t xml:space="preserve"> Fixtures</w:t>
      </w:r>
    </w:p>
    <w:p w14:paraId="169823E7" w14:textId="7B486DF5" w:rsidR="00901E7A" w:rsidRDefault="00901E7A" w:rsidP="00901E7A">
      <w:pPr>
        <w:numPr>
          <w:ilvl w:val="1"/>
          <w:numId w:val="2"/>
        </w:numPr>
      </w:pPr>
      <w:r w:rsidRPr="00E27FD0">
        <w:t xml:space="preserve">The use of LED fixtures shall be approved by the owner. A mockup </w:t>
      </w:r>
      <w:r w:rsidR="006A22DB">
        <w:t xml:space="preserve">or sample </w:t>
      </w:r>
      <w:r w:rsidRPr="00E27FD0">
        <w:t>of</w:t>
      </w:r>
      <w:r>
        <w:t xml:space="preserve"> individual </w:t>
      </w:r>
      <w:r w:rsidRPr="00E27FD0">
        <w:t>fixtures shall be demonstrated to the owner</w:t>
      </w:r>
      <w:r w:rsidR="006A22DB">
        <w:t xml:space="preserve"> during design </w:t>
      </w:r>
      <w:r w:rsidR="006A22DB" w:rsidRPr="00E27FD0">
        <w:t>and</w:t>
      </w:r>
      <w:r w:rsidRPr="00E27FD0">
        <w:t xml:space="preserve"> approved prior to </w:t>
      </w:r>
      <w:r w:rsidR="006A22DB">
        <w:t>specifying</w:t>
      </w:r>
      <w:r w:rsidRPr="00E27FD0">
        <w:t xml:space="preserve"> for all applications. </w:t>
      </w:r>
    </w:p>
    <w:p w14:paraId="65A5FFC6" w14:textId="066DD6B5" w:rsidR="00901E7A" w:rsidRPr="00E27FD0" w:rsidRDefault="00901E7A" w:rsidP="00901E7A">
      <w:pPr>
        <w:numPr>
          <w:ilvl w:val="1"/>
          <w:numId w:val="2"/>
        </w:numPr>
        <w:rPr>
          <w:iCs/>
        </w:rPr>
      </w:pPr>
      <w:r w:rsidRPr="00E27FD0">
        <w:t xml:space="preserve">Color temperature for LED fixtures shall be </w:t>
      </w:r>
      <w:r w:rsidR="00A1399E">
        <w:t>3500</w:t>
      </w:r>
      <w:r w:rsidR="00EF1B3E">
        <w:t>K</w:t>
      </w:r>
      <w:r w:rsidR="00A1399E">
        <w:t xml:space="preserve"> </w:t>
      </w:r>
      <w:r w:rsidR="006B0316">
        <w:t xml:space="preserve">in non-lab areas and 4000K in lab area </w:t>
      </w:r>
      <w:r w:rsidR="00A1399E">
        <w:t xml:space="preserve">unless otherwise </w:t>
      </w:r>
      <w:r w:rsidRPr="00E27FD0">
        <w:t>approved by owner.</w:t>
      </w:r>
    </w:p>
    <w:p w14:paraId="24AF4AF7" w14:textId="3B5F95B9" w:rsidR="006A22DB" w:rsidRDefault="006A22DB" w:rsidP="00901E7A">
      <w:pPr>
        <w:numPr>
          <w:ilvl w:val="1"/>
          <w:numId w:val="2"/>
        </w:numPr>
        <w:rPr>
          <w:iCs/>
        </w:rPr>
      </w:pPr>
      <w:r>
        <w:rPr>
          <w:iCs/>
        </w:rPr>
        <w:t>Attic Stock of LED drivers and light bars shall be provided for each type of fixture as follows:</w:t>
      </w:r>
    </w:p>
    <w:p w14:paraId="73DB9C0D" w14:textId="5B0EC4D5" w:rsidR="006A22DB" w:rsidRDefault="006A22DB" w:rsidP="006A22DB">
      <w:pPr>
        <w:numPr>
          <w:ilvl w:val="2"/>
          <w:numId w:val="2"/>
        </w:numPr>
        <w:rPr>
          <w:iCs/>
        </w:rPr>
      </w:pPr>
      <w:r>
        <w:rPr>
          <w:iCs/>
        </w:rPr>
        <w:t>5% for projects with &gt; 30 fixtures</w:t>
      </w:r>
    </w:p>
    <w:p w14:paraId="025D944B" w14:textId="728463C2" w:rsidR="006A22DB" w:rsidRDefault="006A22DB" w:rsidP="006A22DB">
      <w:pPr>
        <w:numPr>
          <w:ilvl w:val="2"/>
          <w:numId w:val="2"/>
        </w:numPr>
        <w:rPr>
          <w:iCs/>
        </w:rPr>
      </w:pPr>
      <w:r>
        <w:rPr>
          <w:iCs/>
        </w:rPr>
        <w:t xml:space="preserve">10% for projects with ≤ 30 fixtures. </w:t>
      </w:r>
    </w:p>
    <w:p w14:paraId="5BF402DC" w14:textId="23DAE957" w:rsidR="00B34970" w:rsidRPr="00B34970" w:rsidRDefault="00B34970" w:rsidP="00B34970">
      <w:pPr>
        <w:pStyle w:val="ListParagraph"/>
        <w:numPr>
          <w:ilvl w:val="1"/>
          <w:numId w:val="2"/>
        </w:numPr>
        <w:rPr>
          <w:iCs/>
        </w:rPr>
      </w:pPr>
      <w:r>
        <w:rPr>
          <w:iCs/>
        </w:rPr>
        <w:t>Verify project specific foot</w:t>
      </w:r>
      <w:r w:rsidR="006919D0">
        <w:rPr>
          <w:iCs/>
        </w:rPr>
        <w:t>-</w:t>
      </w:r>
      <w:r>
        <w:rPr>
          <w:iCs/>
        </w:rPr>
        <w:t>candle require</w:t>
      </w:r>
      <w:r w:rsidR="006919D0">
        <w:rPr>
          <w:iCs/>
        </w:rPr>
        <w:t>ments</w:t>
      </w:r>
      <w:r>
        <w:rPr>
          <w:iCs/>
        </w:rPr>
        <w:t xml:space="preserve"> with owner.</w:t>
      </w:r>
    </w:p>
    <w:p w14:paraId="2300C912" w14:textId="77777777" w:rsidR="00901E7A" w:rsidRDefault="00901E7A" w:rsidP="00901E7A">
      <w:pPr>
        <w:spacing w:before="240"/>
        <w:rPr>
          <w:iCs/>
        </w:rPr>
      </w:pPr>
      <w:r w:rsidRPr="00E27FD0">
        <w:rPr>
          <w:iCs/>
        </w:rPr>
        <w:t>All areas except Labs: (See use of LED fixtures above)</w:t>
      </w:r>
    </w:p>
    <w:p w14:paraId="702E7487" w14:textId="08FF275F" w:rsidR="00901E7A" w:rsidRDefault="00901E7A" w:rsidP="00901E7A">
      <w:pPr>
        <w:numPr>
          <w:ilvl w:val="1"/>
          <w:numId w:val="2"/>
        </w:numPr>
        <w:spacing w:before="240"/>
        <w:rPr>
          <w:iCs/>
        </w:rPr>
      </w:pPr>
      <w:r w:rsidRPr="00E27FD0">
        <w:rPr>
          <w:iCs/>
        </w:rPr>
        <w:t xml:space="preserve">Use 2’x4’ </w:t>
      </w:r>
      <w:r w:rsidR="0068449D" w:rsidRPr="006A22DB">
        <w:rPr>
          <w:iCs/>
        </w:rPr>
        <w:t>prismatic troffer</w:t>
      </w:r>
      <w:r w:rsidR="006A22DB">
        <w:rPr>
          <w:iCs/>
          <w:u w:val="single"/>
        </w:rPr>
        <w:t>.</w:t>
      </w:r>
    </w:p>
    <w:p w14:paraId="413959B3" w14:textId="32DE68A0" w:rsidR="00901E7A" w:rsidRDefault="00901E7A" w:rsidP="00901E7A">
      <w:pPr>
        <w:numPr>
          <w:ilvl w:val="1"/>
          <w:numId w:val="2"/>
        </w:numPr>
        <w:spacing w:before="240"/>
        <w:rPr>
          <w:iCs/>
        </w:rPr>
      </w:pPr>
      <w:r w:rsidRPr="00E27FD0">
        <w:rPr>
          <w:iCs/>
        </w:rPr>
        <w:t xml:space="preserve">Use 2’x2’ </w:t>
      </w:r>
      <w:r w:rsidR="006A22DB">
        <w:rPr>
          <w:iCs/>
        </w:rPr>
        <w:t>prismatic troffer.</w:t>
      </w:r>
    </w:p>
    <w:p w14:paraId="50330F34" w14:textId="6B955DD6" w:rsidR="00901E7A" w:rsidRDefault="00901E7A" w:rsidP="00901E7A">
      <w:pPr>
        <w:numPr>
          <w:ilvl w:val="1"/>
          <w:numId w:val="2"/>
        </w:numPr>
        <w:spacing w:before="240"/>
        <w:rPr>
          <w:iCs/>
        </w:rPr>
      </w:pPr>
      <w:r w:rsidRPr="00E27FD0">
        <w:rPr>
          <w:iCs/>
        </w:rPr>
        <w:t xml:space="preserve">Use indirect or combination direct/indirect recessed fixtures when directed by WUSM </w:t>
      </w:r>
      <w:r w:rsidR="006A22DB">
        <w:rPr>
          <w:iCs/>
        </w:rPr>
        <w:t>OFMD</w:t>
      </w:r>
      <w:r>
        <w:rPr>
          <w:iCs/>
        </w:rPr>
        <w:t xml:space="preserve"> (I</w:t>
      </w:r>
      <w:r w:rsidRPr="00E27FD0">
        <w:rPr>
          <w:iCs/>
        </w:rPr>
        <w:t xml:space="preserve">f plenum space is a problem, this item to be reviewed with WUSM </w:t>
      </w:r>
      <w:r w:rsidR="006A22DB">
        <w:rPr>
          <w:iCs/>
        </w:rPr>
        <w:t>OFMD</w:t>
      </w:r>
      <w:r w:rsidRPr="00E27FD0">
        <w:rPr>
          <w:iCs/>
        </w:rPr>
        <w:t>)</w:t>
      </w:r>
      <w:r>
        <w:rPr>
          <w:iCs/>
        </w:rPr>
        <w:t>.</w:t>
      </w:r>
    </w:p>
    <w:p w14:paraId="51DB1C4D" w14:textId="2680A747" w:rsidR="00901E7A" w:rsidRDefault="00901E7A" w:rsidP="00901E7A">
      <w:pPr>
        <w:numPr>
          <w:ilvl w:val="1"/>
          <w:numId w:val="2"/>
        </w:numPr>
        <w:spacing w:before="240"/>
        <w:rPr>
          <w:iCs/>
        </w:rPr>
      </w:pPr>
      <w:r w:rsidRPr="00E27FD0">
        <w:rPr>
          <w:iCs/>
        </w:rPr>
        <w:t>Avoid deep “high-hat” fixtures.</w:t>
      </w:r>
    </w:p>
    <w:p w14:paraId="4DC5FACD" w14:textId="1120FB5E" w:rsidR="006A22DB" w:rsidRPr="006A22DB" w:rsidRDefault="00901E7A" w:rsidP="006A22DB">
      <w:pPr>
        <w:numPr>
          <w:ilvl w:val="1"/>
          <w:numId w:val="2"/>
        </w:numPr>
        <w:spacing w:before="240"/>
        <w:rPr>
          <w:iCs/>
        </w:rPr>
      </w:pPr>
      <w:r w:rsidRPr="00E27FD0">
        <w:rPr>
          <w:iCs/>
        </w:rPr>
        <w:lastRenderedPageBreak/>
        <w:t xml:space="preserve">Provide </w:t>
      </w:r>
      <w:r w:rsidR="0011584E" w:rsidRPr="006A22DB">
        <w:rPr>
          <w:iCs/>
        </w:rPr>
        <w:t>LED</w:t>
      </w:r>
      <w:r w:rsidRPr="00E27FD0">
        <w:rPr>
          <w:iCs/>
        </w:rPr>
        <w:t xml:space="preserve"> down lights in conference rooms. </w:t>
      </w:r>
    </w:p>
    <w:p w14:paraId="7DAB7906" w14:textId="77777777" w:rsidR="00901E7A" w:rsidRPr="00E27FD0" w:rsidRDefault="00901E7A" w:rsidP="00901E7A">
      <w:pPr>
        <w:rPr>
          <w:iCs/>
        </w:rPr>
      </w:pPr>
      <w:r w:rsidRPr="00E27FD0">
        <w:t>Labs:</w:t>
      </w:r>
      <w:r>
        <w:t xml:space="preserve"> </w:t>
      </w:r>
      <w:r w:rsidRPr="00E27FD0">
        <w:t>(See use of LED fixtures above)</w:t>
      </w:r>
    </w:p>
    <w:p w14:paraId="364EE69F" w14:textId="7ACA7B3D" w:rsidR="00901E7A" w:rsidRDefault="00901E7A" w:rsidP="00901E7A">
      <w:pPr>
        <w:numPr>
          <w:ilvl w:val="1"/>
          <w:numId w:val="2"/>
        </w:numPr>
        <w:rPr>
          <w:iCs/>
        </w:rPr>
      </w:pPr>
      <w:r w:rsidRPr="00E27FD0">
        <w:rPr>
          <w:iCs/>
        </w:rPr>
        <w:t xml:space="preserve">Use 1’x4’ lay-in direct or combination direct/indirect recessed pendant mounted fixtures </w:t>
      </w:r>
      <w:r w:rsidR="00A1399E">
        <w:rPr>
          <w:iCs/>
        </w:rPr>
        <w:t xml:space="preserve">or </w:t>
      </w:r>
      <w:r w:rsidRPr="00E27FD0">
        <w:rPr>
          <w:iCs/>
        </w:rPr>
        <w:t xml:space="preserve">as directed by WUSM </w:t>
      </w:r>
      <w:r w:rsidR="006A22DB">
        <w:rPr>
          <w:iCs/>
        </w:rPr>
        <w:t>OFMD</w:t>
      </w:r>
      <w:r w:rsidRPr="00E27FD0">
        <w:rPr>
          <w:iCs/>
        </w:rPr>
        <w:t>.</w:t>
      </w:r>
    </w:p>
    <w:p w14:paraId="0BF23CF4" w14:textId="77777777" w:rsidR="00901E7A" w:rsidRDefault="00901E7A" w:rsidP="00901E7A">
      <w:pPr>
        <w:numPr>
          <w:ilvl w:val="1"/>
          <w:numId w:val="2"/>
        </w:numPr>
        <w:rPr>
          <w:iCs/>
        </w:rPr>
      </w:pPr>
      <w:r w:rsidRPr="00E27FD0">
        <w:rPr>
          <w:iCs/>
        </w:rPr>
        <w:t>Switch alternating lights in each row with respect to 1’x4’ row mounted recessed or pendant mounted direct/indirect fixtures.</w:t>
      </w:r>
    </w:p>
    <w:p w14:paraId="07BA419C" w14:textId="6BD9B518" w:rsidR="0000560D" w:rsidRPr="006B0316" w:rsidRDefault="006A22DB" w:rsidP="00901E7A">
      <w:pPr>
        <w:numPr>
          <w:ilvl w:val="1"/>
          <w:numId w:val="2"/>
        </w:numPr>
        <w:rPr>
          <w:iCs/>
          <w:u w:val="single"/>
        </w:rPr>
      </w:pPr>
      <w:r>
        <w:rPr>
          <w:iCs/>
        </w:rPr>
        <w:t xml:space="preserve">Verify </w:t>
      </w:r>
      <w:r w:rsidR="001A2D13">
        <w:rPr>
          <w:iCs/>
        </w:rPr>
        <w:t xml:space="preserve">project specific </w:t>
      </w:r>
      <w:r>
        <w:rPr>
          <w:iCs/>
        </w:rPr>
        <w:t xml:space="preserve">foot-candle requirements with owner at work surface. </w:t>
      </w:r>
    </w:p>
    <w:p w14:paraId="1A055760" w14:textId="1606F197" w:rsidR="006B0316" w:rsidRPr="0000560D" w:rsidRDefault="006B0316" w:rsidP="00901E7A">
      <w:pPr>
        <w:numPr>
          <w:ilvl w:val="1"/>
          <w:numId w:val="2"/>
        </w:numPr>
        <w:rPr>
          <w:iCs/>
          <w:u w:val="single"/>
        </w:rPr>
      </w:pPr>
      <w:r>
        <w:rPr>
          <w:iCs/>
        </w:rPr>
        <w:t xml:space="preserve">If this is a lab area remodel and the ceiling height does not allow pendant mounted fixtures, then reuse the ceiling grid and provide lay-in troffer fixtures. </w:t>
      </w:r>
    </w:p>
    <w:p w14:paraId="6719124A" w14:textId="77777777" w:rsidR="00901E7A" w:rsidRDefault="00901E7A" w:rsidP="00901E7A">
      <w:r w:rsidRPr="00B6192C">
        <w:t>Exit Fixtures:</w:t>
      </w:r>
    </w:p>
    <w:p w14:paraId="47DF7CD2" w14:textId="13C79899" w:rsidR="00901E7A" w:rsidRDefault="00901E7A" w:rsidP="00901E7A">
      <w:pPr>
        <w:numPr>
          <w:ilvl w:val="1"/>
          <w:numId w:val="2"/>
        </w:numPr>
      </w:pPr>
      <w:r w:rsidRPr="00B6192C">
        <w:rPr>
          <w:iCs/>
        </w:rPr>
        <w:t>Exit Fixtures shal</w:t>
      </w:r>
      <w:r w:rsidR="00404136">
        <w:rPr>
          <w:iCs/>
        </w:rPr>
        <w:t>l be LED.</w:t>
      </w:r>
    </w:p>
    <w:p w14:paraId="63C45942" w14:textId="77777777" w:rsidR="00901E7A" w:rsidRDefault="00901E7A" w:rsidP="00901E7A">
      <w:pPr>
        <w:numPr>
          <w:ilvl w:val="1"/>
          <w:numId w:val="2"/>
        </w:numPr>
      </w:pPr>
      <w:r w:rsidRPr="00B6192C">
        <w:rPr>
          <w:iCs/>
        </w:rPr>
        <w:t>Exit fixtures are to be fed from emergency panel circuit where available.</w:t>
      </w:r>
    </w:p>
    <w:p w14:paraId="7EA11210" w14:textId="77777777" w:rsidR="00901E7A" w:rsidRDefault="00901E7A" w:rsidP="00901E7A">
      <w:r w:rsidRPr="00B6192C">
        <w:t>Auxiliary Lights: (See use of LED fixtures above)</w:t>
      </w:r>
    </w:p>
    <w:p w14:paraId="043EEEE5" w14:textId="77777777" w:rsidR="00901E7A" w:rsidRDefault="00901E7A" w:rsidP="00901E7A">
      <w:pPr>
        <w:numPr>
          <w:ilvl w:val="1"/>
          <w:numId w:val="2"/>
        </w:numPr>
      </w:pPr>
      <w:r w:rsidRPr="00B6192C">
        <w:rPr>
          <w:iCs/>
        </w:rPr>
        <w:t>Night light fixtures are to be fed from the emergency panel circuit where available.</w:t>
      </w:r>
    </w:p>
    <w:p w14:paraId="7D5F7D10" w14:textId="77777777" w:rsidR="00901E7A" w:rsidRPr="00B6192C" w:rsidRDefault="00901E7A" w:rsidP="00901E7A">
      <w:pPr>
        <w:numPr>
          <w:ilvl w:val="1"/>
          <w:numId w:val="2"/>
        </w:numPr>
      </w:pPr>
      <w:r w:rsidRPr="00B6192C">
        <w:rPr>
          <w:iCs/>
        </w:rPr>
        <w:t>No battery ballasts and no unit equipment allowed</w:t>
      </w:r>
      <w:r>
        <w:rPr>
          <w:iCs/>
        </w:rPr>
        <w:t xml:space="preserve"> </w:t>
      </w:r>
      <w:r w:rsidRPr="000C261A">
        <w:rPr>
          <w:iCs/>
        </w:rPr>
        <w:t>unless existing building is not equipped with an Emergency Generator and approved by WUSM</w:t>
      </w:r>
      <w:r w:rsidRPr="00B6192C">
        <w:rPr>
          <w:iCs/>
        </w:rPr>
        <w:t>.</w:t>
      </w:r>
    </w:p>
    <w:p w14:paraId="534DBFA7" w14:textId="77777777" w:rsidR="00901E7A" w:rsidRDefault="00901E7A" w:rsidP="00901E7A">
      <w:r>
        <w:t>Related Sections</w:t>
      </w:r>
    </w:p>
    <w:p w14:paraId="594E1AF4" w14:textId="77777777" w:rsidR="00901E7A" w:rsidRPr="00A1399E" w:rsidRDefault="00901E7A" w:rsidP="00901E7A">
      <w:pPr>
        <w:numPr>
          <w:ilvl w:val="1"/>
          <w:numId w:val="2"/>
        </w:numPr>
      </w:pPr>
      <w:r w:rsidRPr="00A1399E">
        <w:t>Building Wire and Cable</w:t>
      </w:r>
    </w:p>
    <w:p w14:paraId="68BE58A2" w14:textId="246CD9EF" w:rsidR="00901E7A" w:rsidRPr="00A1399E" w:rsidRDefault="00901E7A" w:rsidP="00901E7A">
      <w:pPr>
        <w:numPr>
          <w:ilvl w:val="1"/>
          <w:numId w:val="2"/>
        </w:numPr>
      </w:pPr>
      <w:r w:rsidRPr="00A1399E">
        <w:t>Conduits, Fitting and Boxes</w:t>
      </w:r>
    </w:p>
    <w:p w14:paraId="586FEFC4" w14:textId="7EF170C0" w:rsidR="00901E7A" w:rsidRDefault="00901E7A" w:rsidP="00901E7A">
      <w:pPr>
        <w:numPr>
          <w:ilvl w:val="1"/>
          <w:numId w:val="2"/>
        </w:numPr>
      </w:pPr>
      <w:r w:rsidRPr="00A1399E">
        <w:t>Lighting Controls</w:t>
      </w:r>
    </w:p>
    <w:p w14:paraId="419CB07E" w14:textId="77777777" w:rsidR="008242C1" w:rsidRDefault="00E1391D" w:rsidP="00E1391D">
      <w:pPr>
        <w:pStyle w:val="Heading2"/>
      </w:pPr>
      <w:r>
        <w:t>EQUIPMENT</w:t>
      </w:r>
      <w:r w:rsidR="008B255F">
        <w:t xml:space="preserve"> </w:t>
      </w:r>
      <w:r w:rsidR="008B255F">
        <w:rPr>
          <w:caps w:val="0"/>
        </w:rPr>
        <w:t>and</w:t>
      </w:r>
      <w:r w:rsidR="008B255F">
        <w:t xml:space="preserve"> </w:t>
      </w:r>
      <w:r w:rsidR="001C0EF7">
        <w:t>PRODUCT REQUIREMENTS</w:t>
      </w:r>
    </w:p>
    <w:p w14:paraId="332BB56E" w14:textId="37446199" w:rsidR="005F3A67" w:rsidRDefault="008905DE" w:rsidP="005F3A67">
      <w:pPr>
        <w:numPr>
          <w:ilvl w:val="0"/>
          <w:numId w:val="3"/>
        </w:numPr>
        <w:spacing w:line="0" w:lineRule="atLeast"/>
      </w:pPr>
      <w:r>
        <w:t>Lighting Fixtures</w:t>
      </w:r>
    </w:p>
    <w:p w14:paraId="2C0233D2" w14:textId="77777777" w:rsidR="003D51D2" w:rsidRDefault="00A266F8" w:rsidP="003D51D2">
      <w:pPr>
        <w:numPr>
          <w:ilvl w:val="1"/>
          <w:numId w:val="3"/>
        </w:numPr>
        <w:spacing w:line="0" w:lineRule="atLeast"/>
      </w:pPr>
      <w:r>
        <w:t>Approved Manufacturers:</w:t>
      </w:r>
    </w:p>
    <w:p w14:paraId="0C7F2B25" w14:textId="45FC048A" w:rsidR="006A5758" w:rsidRDefault="006A5758" w:rsidP="003D51D2">
      <w:pPr>
        <w:numPr>
          <w:ilvl w:val="2"/>
          <w:numId w:val="3"/>
        </w:numPr>
        <w:spacing w:line="0" w:lineRule="atLeast"/>
      </w:pPr>
      <w:r w:rsidRPr="003D51D2">
        <w:rPr>
          <w:iCs/>
        </w:rPr>
        <w:t xml:space="preserve">Exit </w:t>
      </w:r>
      <w:r w:rsidR="003D51D2">
        <w:rPr>
          <w:iCs/>
        </w:rPr>
        <w:t xml:space="preserve">lights: </w:t>
      </w:r>
      <w:r w:rsidRPr="003D51D2">
        <w:rPr>
          <w:iCs/>
        </w:rPr>
        <w:t>Lithonia Model # LQMSW3R120/277 or universal LED equal.</w:t>
      </w:r>
    </w:p>
    <w:p w14:paraId="2130A373" w14:textId="7A986DFE" w:rsidR="008905DE" w:rsidRDefault="008905DE" w:rsidP="001A2D13">
      <w:pPr>
        <w:numPr>
          <w:ilvl w:val="0"/>
          <w:numId w:val="0"/>
        </w:numPr>
        <w:spacing w:line="0" w:lineRule="atLeast"/>
        <w:ind w:left="2340"/>
      </w:pPr>
    </w:p>
    <w:p w14:paraId="728E483A" w14:textId="4C1801E6" w:rsidR="008242C1" w:rsidRDefault="00143442" w:rsidP="00430F72">
      <w:pPr>
        <w:numPr>
          <w:ilvl w:val="0"/>
          <w:numId w:val="0"/>
        </w:numPr>
        <w:spacing w:line="0" w:lineRule="atLeast"/>
        <w:ind w:left="1080" w:hanging="360"/>
      </w:pPr>
      <w:r>
        <w:t>END OF SECTION</w:t>
      </w:r>
    </w:p>
    <w:p w14:paraId="5775CA36" w14:textId="0FB18268" w:rsidR="008242C1" w:rsidRPr="00E3765E" w:rsidRDefault="008242C1" w:rsidP="00E3765E">
      <w:pPr>
        <w:numPr>
          <w:ilvl w:val="0"/>
          <w:numId w:val="0"/>
        </w:numPr>
        <w:spacing w:before="0" w:after="0"/>
      </w:pPr>
      <w:bookmarkStart w:id="0" w:name="_GoBack"/>
      <w:bookmarkEnd w:id="0"/>
    </w:p>
    <w:sectPr w:rsidR="008242C1" w:rsidRPr="00E3765E" w:rsidSect="008D3820">
      <w:headerReference w:type="default" r:id="rId8"/>
      <w:footerReference w:type="default" r:id="rId9"/>
      <w:type w:val="continuous"/>
      <w:pgSz w:w="12240" w:h="15840"/>
      <w:pgMar w:top="1440" w:right="1080" w:bottom="1440" w:left="1080" w:header="432" w:footer="720" w:gutter="0"/>
      <w:cols w:space="0" w:equalWidth="0">
        <w:col w:w="9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B2A01" w14:textId="77777777" w:rsidR="00D23319" w:rsidRDefault="00D23319" w:rsidP="0094762A">
      <w:pPr>
        <w:spacing w:before="0" w:after="0"/>
      </w:pPr>
      <w:r>
        <w:separator/>
      </w:r>
    </w:p>
  </w:endnote>
  <w:endnote w:type="continuationSeparator" w:id="0">
    <w:p w14:paraId="059B13D0" w14:textId="77777777" w:rsidR="00D23319" w:rsidRDefault="00D23319" w:rsidP="009476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D13BB" w14:textId="77777777" w:rsidR="00DF43A9" w:rsidRDefault="00DF43A9" w:rsidP="00DF43A9">
    <w:pPr>
      <w:numPr>
        <w:ilvl w:val="0"/>
        <w:numId w:val="0"/>
      </w:numPr>
      <w:ind w:left="1080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440"/>
      <w:gridCol w:w="4640"/>
    </w:tblGrid>
    <w:tr w:rsidR="00B92FFF" w:rsidRPr="00DF43A9" w14:paraId="6724B2A7" w14:textId="77777777" w:rsidTr="008D3820">
      <w:trPr>
        <w:trHeight w:val="236"/>
      </w:trPr>
      <w:tc>
        <w:tcPr>
          <w:tcW w:w="5440" w:type="dxa"/>
          <w:tcBorders>
            <w:bottom w:val="single" w:sz="8" w:space="0" w:color="auto"/>
          </w:tcBorders>
          <w:shd w:val="clear" w:color="auto" w:fill="auto"/>
          <w:vAlign w:val="bottom"/>
        </w:tcPr>
        <w:p w14:paraId="663F12EB" w14:textId="2A0E56D3" w:rsidR="00B92FFF" w:rsidRPr="00DF43A9" w:rsidRDefault="00DF43A9" w:rsidP="007F3B5F">
          <w:pPr>
            <w:numPr>
              <w:ilvl w:val="0"/>
              <w:numId w:val="0"/>
            </w:numPr>
            <w:spacing w:before="0" w:after="0" w:line="0" w:lineRule="atLeast"/>
            <w:rPr>
              <w:rFonts w:ascii="Times New Roman" w:eastAsia="Times New Roman" w:hAnsi="Times New Roman"/>
              <w:b/>
            </w:rPr>
          </w:pPr>
          <w:r w:rsidRPr="00DF43A9">
            <w:t>INTERIOR LIGHTING</w:t>
          </w:r>
        </w:p>
      </w:tc>
      <w:tc>
        <w:tcPr>
          <w:tcW w:w="4640" w:type="dxa"/>
          <w:tcBorders>
            <w:bottom w:val="single" w:sz="8" w:space="0" w:color="auto"/>
          </w:tcBorders>
          <w:shd w:val="clear" w:color="auto" w:fill="auto"/>
          <w:vAlign w:val="bottom"/>
        </w:tcPr>
        <w:p w14:paraId="1CC5B104" w14:textId="23200144" w:rsidR="00B92FFF" w:rsidRPr="00DF43A9" w:rsidRDefault="006B0316" w:rsidP="007F3B5F">
          <w:pPr>
            <w:numPr>
              <w:ilvl w:val="0"/>
              <w:numId w:val="0"/>
            </w:numPr>
            <w:spacing w:before="0" w:after="0" w:line="0" w:lineRule="atLeast"/>
            <w:ind w:left="360"/>
            <w:jc w:val="right"/>
            <w:rPr>
              <w:rFonts w:eastAsia="Arial"/>
            </w:rPr>
          </w:pPr>
          <w:r>
            <w:rPr>
              <w:rFonts w:eastAsia="Arial"/>
            </w:rPr>
            <w:t>August 2, 2023</w:t>
          </w:r>
        </w:p>
      </w:tc>
    </w:tr>
    <w:tr w:rsidR="00B92FFF" w:rsidRPr="00DF43A9" w14:paraId="39AF902A" w14:textId="77777777" w:rsidTr="008D3820">
      <w:trPr>
        <w:trHeight w:val="234"/>
      </w:trPr>
      <w:tc>
        <w:tcPr>
          <w:tcW w:w="5440" w:type="dxa"/>
          <w:shd w:val="clear" w:color="auto" w:fill="auto"/>
          <w:vAlign w:val="bottom"/>
        </w:tcPr>
        <w:p w14:paraId="05E6A676" w14:textId="58A7978D" w:rsidR="00B92FFF" w:rsidRPr="00DF43A9" w:rsidRDefault="00B92FFF" w:rsidP="00430F72">
          <w:pPr>
            <w:pStyle w:val="Heading1"/>
            <w:spacing w:before="0" w:after="0"/>
            <w:rPr>
              <w:b w:val="0"/>
            </w:rPr>
          </w:pPr>
        </w:p>
      </w:tc>
      <w:tc>
        <w:tcPr>
          <w:tcW w:w="4640" w:type="dxa"/>
          <w:shd w:val="clear" w:color="auto" w:fill="auto"/>
          <w:vAlign w:val="bottom"/>
        </w:tcPr>
        <w:p w14:paraId="7C8C9EA8" w14:textId="7EC392BA" w:rsidR="00B92FFF" w:rsidRPr="00DF43A9" w:rsidRDefault="009F0EEE" w:rsidP="009F0EEE">
          <w:pPr>
            <w:numPr>
              <w:ilvl w:val="0"/>
              <w:numId w:val="0"/>
            </w:numPr>
            <w:spacing w:before="0" w:after="0" w:line="0" w:lineRule="atLeast"/>
            <w:ind w:left="360"/>
            <w:jc w:val="right"/>
            <w:rPr>
              <w:rFonts w:eastAsia="Arial"/>
            </w:rPr>
          </w:pPr>
          <w:r w:rsidRPr="00DF43A9">
            <w:rPr>
              <w:rFonts w:eastAsia="Arial"/>
            </w:rPr>
            <w:fldChar w:fldCharType="begin"/>
          </w:r>
          <w:r w:rsidRPr="00DF43A9">
            <w:rPr>
              <w:rFonts w:eastAsia="Arial"/>
            </w:rPr>
            <w:instrText xml:space="preserve"> PAGE   \* MERGEFORMAT </w:instrText>
          </w:r>
          <w:r w:rsidRPr="00DF43A9">
            <w:rPr>
              <w:rFonts w:eastAsia="Arial"/>
            </w:rPr>
            <w:fldChar w:fldCharType="separate"/>
          </w:r>
          <w:r w:rsidR="00E3765E">
            <w:rPr>
              <w:rFonts w:eastAsia="Arial"/>
              <w:noProof/>
            </w:rPr>
            <w:t>1</w:t>
          </w:r>
          <w:r w:rsidRPr="00DF43A9">
            <w:rPr>
              <w:rFonts w:eastAsia="Arial"/>
              <w:noProof/>
            </w:rPr>
            <w:fldChar w:fldCharType="end"/>
          </w:r>
        </w:p>
      </w:tc>
    </w:tr>
  </w:tbl>
  <w:p w14:paraId="1CE53D36" w14:textId="77777777" w:rsidR="007F3B5F" w:rsidRPr="00B92FFF" w:rsidRDefault="007F3B5F" w:rsidP="008D3820">
    <w:pPr>
      <w:pStyle w:val="Footer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43DFF" w14:textId="77777777" w:rsidR="00D23319" w:rsidRDefault="00D23319" w:rsidP="0094762A">
      <w:pPr>
        <w:spacing w:before="0" w:after="0"/>
      </w:pPr>
      <w:r>
        <w:separator/>
      </w:r>
    </w:p>
  </w:footnote>
  <w:footnote w:type="continuationSeparator" w:id="0">
    <w:p w14:paraId="7709ED2E" w14:textId="77777777" w:rsidR="00D23319" w:rsidRDefault="00D23319" w:rsidP="0094762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7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6"/>
      <w:gridCol w:w="5224"/>
    </w:tblGrid>
    <w:tr w:rsidR="008D3820" w:rsidRPr="008D3820" w14:paraId="46615ABA" w14:textId="77777777" w:rsidTr="00A2213B">
      <w:trPr>
        <w:trHeight w:val="1260"/>
      </w:trPr>
      <w:tc>
        <w:tcPr>
          <w:tcW w:w="4946" w:type="dxa"/>
          <w:tcBorders>
            <w:bottom w:val="single" w:sz="4" w:space="0" w:color="auto"/>
          </w:tcBorders>
        </w:tcPr>
        <w:p w14:paraId="39766D19" w14:textId="77777777" w:rsidR="008D3820" w:rsidRPr="008D3820" w:rsidRDefault="008D3820" w:rsidP="008D3820">
          <w:pPr>
            <w:keepLines/>
            <w:numPr>
              <w:ilvl w:val="0"/>
              <w:numId w:val="0"/>
            </w:numPr>
            <w:tabs>
              <w:tab w:val="center" w:pos="4680"/>
              <w:tab w:val="right" w:pos="9360"/>
            </w:tabs>
            <w:spacing w:before="0" w:after="0"/>
          </w:pPr>
          <w:r w:rsidRPr="008D3820">
            <w:rPr>
              <w:noProof/>
            </w:rPr>
            <w:drawing>
              <wp:inline distT="0" distB="0" distL="0" distR="0" wp14:anchorId="49E6A7D8" wp14:editId="30C1F42B">
                <wp:extent cx="1184230" cy="779365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USM OFMD 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4230" cy="779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4" w:type="dxa"/>
          <w:tcBorders>
            <w:bottom w:val="single" w:sz="4" w:space="0" w:color="auto"/>
          </w:tcBorders>
          <w:vAlign w:val="bottom"/>
        </w:tcPr>
        <w:p w14:paraId="0F4432E6" w14:textId="77777777" w:rsidR="008D3820" w:rsidRPr="008D3820" w:rsidRDefault="008D3820" w:rsidP="008D3820">
          <w:pPr>
            <w:keepLines/>
            <w:numPr>
              <w:ilvl w:val="0"/>
              <w:numId w:val="0"/>
            </w:numPr>
            <w:tabs>
              <w:tab w:val="center" w:pos="4680"/>
              <w:tab w:val="right" w:pos="9360"/>
            </w:tabs>
            <w:spacing w:before="0"/>
            <w:ind w:left="720"/>
            <w:rPr>
              <w:sz w:val="22"/>
              <w:szCs w:val="22"/>
            </w:rPr>
          </w:pPr>
          <w:r w:rsidRPr="008D3820">
            <w:t xml:space="preserve">                                    </w:t>
          </w:r>
          <w:r w:rsidRPr="008D3820">
            <w:rPr>
              <w:sz w:val="22"/>
              <w:szCs w:val="22"/>
            </w:rPr>
            <w:t>DESIGN STANDARDS</w:t>
          </w:r>
        </w:p>
      </w:tc>
    </w:tr>
  </w:tbl>
  <w:p w14:paraId="5F23FFF2" w14:textId="1FE25BC0" w:rsidR="0094762A" w:rsidRDefault="008D3820" w:rsidP="008D3820">
    <w:pPr>
      <w:pStyle w:val="Title"/>
      <w:tabs>
        <w:tab w:val="right" w:pos="10080"/>
      </w:tabs>
      <w:ind w:left="0"/>
      <w:rPr>
        <w:rFonts w:eastAsia="Calibri"/>
        <w:b w:val="0"/>
        <w:sz w:val="22"/>
        <w:szCs w:val="22"/>
      </w:rPr>
    </w:pPr>
    <w:r w:rsidRPr="008D3820">
      <w:rPr>
        <w:rFonts w:eastAsia="Calibri"/>
        <w:b w:val="0"/>
        <w:sz w:val="20"/>
      </w:rPr>
      <w:tab/>
    </w:r>
    <w:r w:rsidRPr="008D3820">
      <w:rPr>
        <w:rFonts w:eastAsia="Calibri"/>
        <w:b w:val="0"/>
        <w:sz w:val="22"/>
        <w:szCs w:val="22"/>
      </w:rPr>
      <w:t>Washington University School of Medicine</w:t>
    </w:r>
  </w:p>
  <w:p w14:paraId="1BC0E246" w14:textId="77777777" w:rsidR="008D3820" w:rsidRPr="008D3820" w:rsidRDefault="008D3820" w:rsidP="008D3820">
    <w:pPr>
      <w:numPr>
        <w:ilvl w:val="0"/>
        <w:numId w:val="0"/>
      </w:num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57A89"/>
    <w:multiLevelType w:val="hybridMultilevel"/>
    <w:tmpl w:val="1DF83246"/>
    <w:lvl w:ilvl="0" w:tplc="B0764580">
      <w:start w:val="1"/>
      <w:numFmt w:val="decimal"/>
      <w:pStyle w:val="Normal"/>
      <w:lvlText w:val="%1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1" w:tplc="F5AA089C">
      <w:start w:val="1"/>
      <w:numFmt w:val="lowerLetter"/>
      <w:lvlText w:val="%2."/>
      <w:lvlJc w:val="left"/>
      <w:pPr>
        <w:ind w:left="1800" w:hanging="360"/>
      </w:pPr>
      <w:rPr>
        <w:rFonts w:ascii="Arial" w:hAnsi="Arial" w:cs="Arial" w:hint="default"/>
        <w:sz w:val="20"/>
        <w:szCs w:val="20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410A7D7A">
      <w:start w:val="4"/>
      <w:numFmt w:val="bullet"/>
      <w:lvlText w:val="-"/>
      <w:lvlJc w:val="left"/>
      <w:pPr>
        <w:ind w:left="3960" w:hanging="360"/>
      </w:pPr>
      <w:rPr>
        <w:rFonts w:ascii="Arial" w:eastAsia="Calibri" w:hAnsi="Arial" w:cs="Arial" w:hint="default"/>
      </w:rPr>
    </w:lvl>
    <w:lvl w:ilvl="5" w:tplc="27B47FA0">
      <w:start w:val="4"/>
      <w:numFmt w:val="decimal"/>
      <w:lvlText w:val="%6"/>
      <w:lvlJc w:val="left"/>
      <w:pPr>
        <w:ind w:left="4860" w:hanging="360"/>
      </w:pPr>
      <w:rPr>
        <w:rFonts w:hint="default"/>
        <w:u w:val="single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F774DD"/>
    <w:multiLevelType w:val="hybridMultilevel"/>
    <w:tmpl w:val="0E56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51DC6"/>
    <w:multiLevelType w:val="hybridMultilevel"/>
    <w:tmpl w:val="DFCEA0E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Y0MTAyB9KmBuaWpko6SsGpxcWZ+XkgBca1ANQZZ7ksAAAA"/>
  </w:docVars>
  <w:rsids>
    <w:rsidRoot w:val="00E946F8"/>
    <w:rsid w:val="0000560D"/>
    <w:rsid w:val="00010726"/>
    <w:rsid w:val="00046B07"/>
    <w:rsid w:val="00076AB4"/>
    <w:rsid w:val="000A2809"/>
    <w:rsid w:val="000C261A"/>
    <w:rsid w:val="000E5D45"/>
    <w:rsid w:val="000F3EEC"/>
    <w:rsid w:val="0010130D"/>
    <w:rsid w:val="001114A3"/>
    <w:rsid w:val="0011584E"/>
    <w:rsid w:val="00124C4B"/>
    <w:rsid w:val="00143442"/>
    <w:rsid w:val="00152ED5"/>
    <w:rsid w:val="001563EC"/>
    <w:rsid w:val="00166CC4"/>
    <w:rsid w:val="00174D0A"/>
    <w:rsid w:val="001912AF"/>
    <w:rsid w:val="00195CE0"/>
    <w:rsid w:val="00195FD2"/>
    <w:rsid w:val="001A2D13"/>
    <w:rsid w:val="001B33C9"/>
    <w:rsid w:val="001C0B16"/>
    <w:rsid w:val="001C0EF7"/>
    <w:rsid w:val="001D35DE"/>
    <w:rsid w:val="001E4BBB"/>
    <w:rsid w:val="001F43AB"/>
    <w:rsid w:val="00240E31"/>
    <w:rsid w:val="00241CEC"/>
    <w:rsid w:val="00252C26"/>
    <w:rsid w:val="002A6E49"/>
    <w:rsid w:val="002B3AFE"/>
    <w:rsid w:val="002E025B"/>
    <w:rsid w:val="002E17C9"/>
    <w:rsid w:val="002E2B7E"/>
    <w:rsid w:val="002F5F41"/>
    <w:rsid w:val="002F6D88"/>
    <w:rsid w:val="0031065D"/>
    <w:rsid w:val="00333F5F"/>
    <w:rsid w:val="003764AD"/>
    <w:rsid w:val="00377FC5"/>
    <w:rsid w:val="003860B2"/>
    <w:rsid w:val="003B3B45"/>
    <w:rsid w:val="003B4609"/>
    <w:rsid w:val="003C58E4"/>
    <w:rsid w:val="003D51D2"/>
    <w:rsid w:val="00402115"/>
    <w:rsid w:val="00402649"/>
    <w:rsid w:val="00404136"/>
    <w:rsid w:val="00405826"/>
    <w:rsid w:val="004133B9"/>
    <w:rsid w:val="00415F2A"/>
    <w:rsid w:val="00421615"/>
    <w:rsid w:val="00430F72"/>
    <w:rsid w:val="00496DF9"/>
    <w:rsid w:val="004A2F58"/>
    <w:rsid w:val="004B62DC"/>
    <w:rsid w:val="004E0CD4"/>
    <w:rsid w:val="004F5D2C"/>
    <w:rsid w:val="00510059"/>
    <w:rsid w:val="005116BB"/>
    <w:rsid w:val="00522BD5"/>
    <w:rsid w:val="00533AA9"/>
    <w:rsid w:val="005366FA"/>
    <w:rsid w:val="00540321"/>
    <w:rsid w:val="00543D46"/>
    <w:rsid w:val="00556B16"/>
    <w:rsid w:val="00560009"/>
    <w:rsid w:val="00580C59"/>
    <w:rsid w:val="00593089"/>
    <w:rsid w:val="005A3B47"/>
    <w:rsid w:val="005E1054"/>
    <w:rsid w:val="005E6FD2"/>
    <w:rsid w:val="005F33CA"/>
    <w:rsid w:val="005F3A67"/>
    <w:rsid w:val="00604A8B"/>
    <w:rsid w:val="00612744"/>
    <w:rsid w:val="006176CA"/>
    <w:rsid w:val="00627673"/>
    <w:rsid w:val="006361EA"/>
    <w:rsid w:val="0065205F"/>
    <w:rsid w:val="00652E32"/>
    <w:rsid w:val="0068449D"/>
    <w:rsid w:val="006919D0"/>
    <w:rsid w:val="00695CAE"/>
    <w:rsid w:val="006A22DB"/>
    <w:rsid w:val="006A3EE9"/>
    <w:rsid w:val="006A5758"/>
    <w:rsid w:val="006B0316"/>
    <w:rsid w:val="006C36C3"/>
    <w:rsid w:val="006C4160"/>
    <w:rsid w:val="006C7685"/>
    <w:rsid w:val="006D108C"/>
    <w:rsid w:val="006D5AC8"/>
    <w:rsid w:val="006F5985"/>
    <w:rsid w:val="006F64C5"/>
    <w:rsid w:val="006F6F59"/>
    <w:rsid w:val="007032F0"/>
    <w:rsid w:val="007333AF"/>
    <w:rsid w:val="00763290"/>
    <w:rsid w:val="007917EA"/>
    <w:rsid w:val="007932DB"/>
    <w:rsid w:val="007A2B9D"/>
    <w:rsid w:val="007A3195"/>
    <w:rsid w:val="007B4ACA"/>
    <w:rsid w:val="007B77DB"/>
    <w:rsid w:val="007C0612"/>
    <w:rsid w:val="007F3B5F"/>
    <w:rsid w:val="00816490"/>
    <w:rsid w:val="00823F49"/>
    <w:rsid w:val="008242C1"/>
    <w:rsid w:val="00852A3A"/>
    <w:rsid w:val="0086515F"/>
    <w:rsid w:val="008905DE"/>
    <w:rsid w:val="00894262"/>
    <w:rsid w:val="008B0F32"/>
    <w:rsid w:val="008B1B0E"/>
    <w:rsid w:val="008B255F"/>
    <w:rsid w:val="008B6F8F"/>
    <w:rsid w:val="008D1340"/>
    <w:rsid w:val="008D1D9E"/>
    <w:rsid w:val="008D3820"/>
    <w:rsid w:val="008F0BBD"/>
    <w:rsid w:val="00901E7A"/>
    <w:rsid w:val="0094048B"/>
    <w:rsid w:val="0094247C"/>
    <w:rsid w:val="00945DA5"/>
    <w:rsid w:val="0094762A"/>
    <w:rsid w:val="00970D7B"/>
    <w:rsid w:val="00984FF7"/>
    <w:rsid w:val="00994E8E"/>
    <w:rsid w:val="009D4967"/>
    <w:rsid w:val="009F0EEE"/>
    <w:rsid w:val="009F61C1"/>
    <w:rsid w:val="00A114A0"/>
    <w:rsid w:val="00A1399E"/>
    <w:rsid w:val="00A266F8"/>
    <w:rsid w:val="00A35B49"/>
    <w:rsid w:val="00A42788"/>
    <w:rsid w:val="00A45021"/>
    <w:rsid w:val="00A463BD"/>
    <w:rsid w:val="00A520ED"/>
    <w:rsid w:val="00A75093"/>
    <w:rsid w:val="00A94263"/>
    <w:rsid w:val="00AB5230"/>
    <w:rsid w:val="00AD6C22"/>
    <w:rsid w:val="00B02670"/>
    <w:rsid w:val="00B15E8C"/>
    <w:rsid w:val="00B20277"/>
    <w:rsid w:val="00B27F73"/>
    <w:rsid w:val="00B34970"/>
    <w:rsid w:val="00B632E9"/>
    <w:rsid w:val="00B92FFF"/>
    <w:rsid w:val="00BA6AF2"/>
    <w:rsid w:val="00BB6DC0"/>
    <w:rsid w:val="00BC0C0F"/>
    <w:rsid w:val="00BD5325"/>
    <w:rsid w:val="00BE559E"/>
    <w:rsid w:val="00BE7C25"/>
    <w:rsid w:val="00C15ED7"/>
    <w:rsid w:val="00C400E1"/>
    <w:rsid w:val="00C41EDA"/>
    <w:rsid w:val="00C43CC3"/>
    <w:rsid w:val="00C7039E"/>
    <w:rsid w:val="00C82530"/>
    <w:rsid w:val="00C83A9F"/>
    <w:rsid w:val="00C9547E"/>
    <w:rsid w:val="00C96D62"/>
    <w:rsid w:val="00CA30A7"/>
    <w:rsid w:val="00CA629C"/>
    <w:rsid w:val="00D033ED"/>
    <w:rsid w:val="00D0546C"/>
    <w:rsid w:val="00D22589"/>
    <w:rsid w:val="00D23319"/>
    <w:rsid w:val="00D74CF6"/>
    <w:rsid w:val="00D82DCA"/>
    <w:rsid w:val="00D855A3"/>
    <w:rsid w:val="00DC2AC1"/>
    <w:rsid w:val="00DC2AD6"/>
    <w:rsid w:val="00DC4218"/>
    <w:rsid w:val="00DD5FD0"/>
    <w:rsid w:val="00DE2E46"/>
    <w:rsid w:val="00DF2D3F"/>
    <w:rsid w:val="00DF43A9"/>
    <w:rsid w:val="00E10500"/>
    <w:rsid w:val="00E1391D"/>
    <w:rsid w:val="00E1462A"/>
    <w:rsid w:val="00E225E5"/>
    <w:rsid w:val="00E233FD"/>
    <w:rsid w:val="00E351A1"/>
    <w:rsid w:val="00E3765E"/>
    <w:rsid w:val="00E57724"/>
    <w:rsid w:val="00E62B4D"/>
    <w:rsid w:val="00E749DA"/>
    <w:rsid w:val="00E83408"/>
    <w:rsid w:val="00E87BD9"/>
    <w:rsid w:val="00E946F8"/>
    <w:rsid w:val="00EA4867"/>
    <w:rsid w:val="00EB3957"/>
    <w:rsid w:val="00EB6C6C"/>
    <w:rsid w:val="00EC4EF4"/>
    <w:rsid w:val="00EC5C62"/>
    <w:rsid w:val="00EF1B3E"/>
    <w:rsid w:val="00EF2995"/>
    <w:rsid w:val="00F01294"/>
    <w:rsid w:val="00F0149D"/>
    <w:rsid w:val="00F14A27"/>
    <w:rsid w:val="00F31153"/>
    <w:rsid w:val="00F43FBE"/>
    <w:rsid w:val="00F458C1"/>
    <w:rsid w:val="00F5586E"/>
    <w:rsid w:val="00F653B4"/>
    <w:rsid w:val="00F733CD"/>
    <w:rsid w:val="00F7500F"/>
    <w:rsid w:val="00F970AF"/>
    <w:rsid w:val="00FA1F34"/>
    <w:rsid w:val="00FC0BC6"/>
    <w:rsid w:val="00FD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4E4EDB4"/>
  <w15:docId w15:val="{0F7523DF-5C38-4F71-94BB-12D2D2E3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B5F"/>
    <w:pPr>
      <w:numPr>
        <w:numId w:val="2"/>
      </w:numPr>
      <w:spacing w:before="120" w:after="120"/>
    </w:pPr>
    <w:rPr>
      <w:rFonts w:ascii="Arial" w:hAnsi="Arial"/>
    </w:rPr>
  </w:style>
  <w:style w:type="paragraph" w:styleId="Heading1">
    <w:name w:val="heading 1"/>
    <w:next w:val="Normal"/>
    <w:link w:val="Heading1Char"/>
    <w:uiPriority w:val="9"/>
    <w:qFormat/>
    <w:rsid w:val="00B92FFF"/>
    <w:pPr>
      <w:spacing w:before="360" w:after="240"/>
      <w:outlineLvl w:val="0"/>
    </w:pPr>
    <w:rPr>
      <w:rFonts w:ascii="Arial" w:eastAsia="Arial" w:hAnsi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B5F"/>
    <w:pPr>
      <w:numPr>
        <w:numId w:val="0"/>
      </w:numPr>
      <w:spacing w:before="240" w:after="240" w:line="0" w:lineRule="atLeast"/>
      <w:outlineLvl w:val="1"/>
    </w:pPr>
    <w:rPr>
      <w:rFonts w:eastAsia="Arial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10"/>
    <w:qFormat/>
    <w:rsid w:val="0094762A"/>
    <w:pPr>
      <w:spacing w:line="0" w:lineRule="atLeast"/>
      <w:ind w:left="6696"/>
    </w:pPr>
    <w:rPr>
      <w:rFonts w:ascii="Arial" w:eastAsia="Arial" w:hAnsi="Arial"/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94762A"/>
    <w:rPr>
      <w:rFonts w:ascii="Arial" w:eastAsia="Arial" w:hAnsi="Arial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F3B5F"/>
    <w:rPr>
      <w:rFonts w:ascii="Arial" w:eastAsia="Arial" w:hAnsi="Arial"/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B92FFF"/>
    <w:rPr>
      <w:rFonts w:ascii="Arial" w:eastAsia="Arial" w:hAnsi="Arial"/>
      <w:b/>
      <w:caps/>
    </w:rPr>
  </w:style>
  <w:style w:type="paragraph" w:styleId="Subtitle">
    <w:name w:val="Subtitle"/>
    <w:next w:val="Normal"/>
    <w:link w:val="SubtitleChar"/>
    <w:uiPriority w:val="11"/>
    <w:qFormat/>
    <w:rsid w:val="0094762A"/>
    <w:pPr>
      <w:spacing w:before="60" w:line="0" w:lineRule="atLeast"/>
      <w:ind w:left="4306"/>
    </w:pPr>
    <w:rPr>
      <w:rFonts w:ascii="Arial" w:eastAsia="Arial" w:hAnsi="Arial"/>
    </w:rPr>
  </w:style>
  <w:style w:type="character" w:customStyle="1" w:styleId="SubtitleChar">
    <w:name w:val="Subtitle Char"/>
    <w:basedOn w:val="DefaultParagraphFont"/>
    <w:link w:val="Subtitle"/>
    <w:uiPriority w:val="11"/>
    <w:rsid w:val="0094762A"/>
    <w:rPr>
      <w:rFonts w:ascii="Arial" w:eastAsia="Arial" w:hAnsi="Arial"/>
    </w:rPr>
  </w:style>
  <w:style w:type="paragraph" w:styleId="Header">
    <w:name w:val="header"/>
    <w:basedOn w:val="Normal"/>
    <w:link w:val="HeaderChar"/>
    <w:uiPriority w:val="99"/>
    <w:unhideWhenUsed/>
    <w:rsid w:val="0094762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4762A"/>
  </w:style>
  <w:style w:type="paragraph" w:styleId="Footer">
    <w:name w:val="footer"/>
    <w:basedOn w:val="Normal"/>
    <w:link w:val="FooterChar"/>
    <w:uiPriority w:val="99"/>
    <w:unhideWhenUsed/>
    <w:rsid w:val="0094762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4762A"/>
  </w:style>
  <w:style w:type="paragraph" w:styleId="ListParagraph">
    <w:name w:val="List Paragraph"/>
    <w:basedOn w:val="Normal"/>
    <w:uiPriority w:val="34"/>
    <w:qFormat/>
    <w:rsid w:val="00B92FFF"/>
    <w:pPr>
      <w:contextualSpacing/>
    </w:pPr>
  </w:style>
  <w:style w:type="table" w:styleId="TableGrid">
    <w:name w:val="Table Grid"/>
    <w:basedOn w:val="TableNormal"/>
    <w:uiPriority w:val="59"/>
    <w:unhideWhenUsed/>
    <w:rsid w:val="008D3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B85A2-199F-470E-AA7E-9A22B25D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SSC Engineering Inc.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Meyer</dc:creator>
  <cp:lastModifiedBy>Sagehorn, Dee</cp:lastModifiedBy>
  <cp:revision>3</cp:revision>
  <cp:lastPrinted>2018-02-21T16:57:00Z</cp:lastPrinted>
  <dcterms:created xsi:type="dcterms:W3CDTF">2023-08-02T13:25:00Z</dcterms:created>
  <dcterms:modified xsi:type="dcterms:W3CDTF">2023-08-02T13:26:00Z</dcterms:modified>
</cp:coreProperties>
</file>